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E3" w:rsidRDefault="00593DB0" w:rsidP="00593DB0">
      <w:pPr>
        <w:jc w:val="right"/>
      </w:pPr>
      <w:r>
        <w:t>Приложение №</w:t>
      </w:r>
      <w:r w:rsidR="0050092B">
        <w:t xml:space="preserve"> 1</w:t>
      </w:r>
      <w:r w:rsidR="00766C62">
        <w:t>,2</w:t>
      </w:r>
      <w:r>
        <w:t xml:space="preserve"> </w:t>
      </w:r>
      <w:r w:rsidR="009B002A">
        <w:t>к Техническому заданию</w:t>
      </w:r>
    </w:p>
    <w:p w:rsidR="00593DB0" w:rsidRDefault="00593DB0" w:rsidP="00593DB0">
      <w:pPr>
        <w:jc w:val="right"/>
      </w:pPr>
    </w:p>
    <w:p w:rsidR="00593DB0" w:rsidRDefault="00593DB0" w:rsidP="00593DB0">
      <w:pPr>
        <w:jc w:val="right"/>
      </w:pPr>
    </w:p>
    <w:p w:rsidR="00E65338" w:rsidRDefault="00E65338" w:rsidP="00593DB0">
      <w:pPr>
        <w:jc w:val="right"/>
      </w:pPr>
    </w:p>
    <w:p w:rsidR="00E65338" w:rsidRDefault="00E65338" w:rsidP="00593DB0">
      <w:pPr>
        <w:jc w:val="right"/>
      </w:pPr>
    </w:p>
    <w:p w:rsidR="00593DB0" w:rsidRPr="00B70F53" w:rsidRDefault="00593DB0" w:rsidP="00593DB0">
      <w:pPr>
        <w:jc w:val="center"/>
      </w:pPr>
      <w:r w:rsidRPr="00B70F53">
        <w:t>Обязанности по обеспечению требований Системы экологического менеджмента.</w:t>
      </w:r>
    </w:p>
    <w:p w:rsidR="00593DB0" w:rsidRDefault="00593DB0" w:rsidP="00593DB0">
      <w:pPr>
        <w:ind w:firstLine="720"/>
        <w:jc w:val="both"/>
        <w:rPr>
          <w:b/>
          <w:u w:val="single"/>
        </w:rPr>
      </w:pPr>
    </w:p>
    <w:p w:rsidR="00E65338" w:rsidRDefault="00E65338" w:rsidP="00593DB0">
      <w:pPr>
        <w:ind w:firstLine="720"/>
        <w:jc w:val="both"/>
        <w:rPr>
          <w:b/>
          <w:u w:val="single"/>
        </w:rPr>
      </w:pPr>
    </w:p>
    <w:p w:rsidR="00E65338" w:rsidRDefault="00E65338" w:rsidP="00593DB0">
      <w:pPr>
        <w:ind w:firstLine="720"/>
        <w:jc w:val="both"/>
        <w:rPr>
          <w:b/>
          <w:u w:val="single"/>
        </w:rPr>
      </w:pPr>
    </w:p>
    <w:p w:rsidR="00766C62" w:rsidRPr="00766C62" w:rsidRDefault="00593DB0" w:rsidP="00766C62">
      <w:pPr>
        <w:ind w:firstLine="720"/>
        <w:jc w:val="both"/>
        <w:rPr>
          <w:b/>
          <w:u w:val="single"/>
        </w:rPr>
      </w:pPr>
      <w:r w:rsidRPr="00B70F53">
        <w:rPr>
          <w:b/>
          <w:u w:val="single"/>
        </w:rPr>
        <w:t>Обязанности Подрядчика:</w:t>
      </w:r>
    </w:p>
    <w:p w:rsidR="00593DB0" w:rsidRPr="00766C62" w:rsidRDefault="00593DB0" w:rsidP="00766C62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b/>
          <w:u w:val="single"/>
        </w:rPr>
      </w:pPr>
      <w:r w:rsidRPr="00B70F53">
        <w:t>Подрядчик (поставщик) обязан ознакомиться с Экологической политикой ОАО «ТГК-1» и должен принять все необходимые меры по соблюдению этой политики в рамках деятельности, определенной настоящим договором.</w:t>
      </w:r>
    </w:p>
    <w:p w:rsidR="00593DB0" w:rsidRPr="00B70F53" w:rsidRDefault="00593DB0" w:rsidP="00630A2E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20"/>
        <w:jc w:val="both"/>
      </w:pPr>
      <w:r w:rsidRPr="00B70F53">
        <w:t xml:space="preserve">Подрядчик (поставщик), деятельность которого связана с образованием отходов </w:t>
      </w:r>
      <w:r w:rsidR="00630A2E">
        <w:t>пр</w:t>
      </w:r>
      <w:r w:rsidRPr="00B70F53">
        <w:t>оизводства и потребления, обязан соблюдать требования природоохранного  законодательства Российской Федерации.</w:t>
      </w:r>
    </w:p>
    <w:p w:rsidR="00593DB0" w:rsidRPr="00B70F53" w:rsidRDefault="00593DB0" w:rsidP="00630A2E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20"/>
        <w:jc w:val="both"/>
      </w:pPr>
      <w:r w:rsidRPr="00B70F53">
        <w:t>Акты сдачи - приемки  выполненных работ подписываются заказчиком при условии выполнения подрядчиком (поставщиком) указанных выше требований.</w:t>
      </w:r>
    </w:p>
    <w:p w:rsidR="00593DB0" w:rsidRDefault="00593DB0" w:rsidP="00593DB0">
      <w:pPr>
        <w:ind w:left="720"/>
        <w:jc w:val="both"/>
        <w:rPr>
          <w:b/>
          <w:u w:val="single"/>
        </w:rPr>
      </w:pPr>
    </w:p>
    <w:p w:rsidR="00593DB0" w:rsidRPr="00B70F53" w:rsidRDefault="00593DB0" w:rsidP="00593DB0">
      <w:pPr>
        <w:ind w:left="720"/>
        <w:jc w:val="both"/>
        <w:rPr>
          <w:b/>
          <w:u w:val="single"/>
        </w:rPr>
      </w:pPr>
      <w:r w:rsidRPr="00B70F53">
        <w:rPr>
          <w:b/>
          <w:u w:val="single"/>
        </w:rPr>
        <w:t>Обязанности Заказчика:</w:t>
      </w:r>
    </w:p>
    <w:p w:rsidR="009B002A" w:rsidRDefault="00593DB0" w:rsidP="00630A2E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</w:pPr>
      <w:r w:rsidRPr="00B70F53">
        <w:t>Заказчик обязан предоставить Подрядчику Экологическую политику ОАО «ТГК-1».</w:t>
      </w:r>
    </w:p>
    <w:p w:rsidR="00593DB0" w:rsidRDefault="00593DB0" w:rsidP="00630A2E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</w:pPr>
      <w:r w:rsidRPr="00B70F53">
        <w:t>Заказчик обязан провести инструктаж по доведению до работников Подрядчика информации об Экологической политике ОАО «ТГК-1» и необходимости соблюдения требований природоохранного законодательства Российской Федерации.</w:t>
      </w:r>
    </w:p>
    <w:p w:rsidR="00766C62" w:rsidRDefault="00766C62" w:rsidP="00766C62">
      <w:pPr>
        <w:tabs>
          <w:tab w:val="left" w:pos="993"/>
        </w:tabs>
        <w:spacing w:line="276" w:lineRule="auto"/>
        <w:jc w:val="both"/>
      </w:pPr>
    </w:p>
    <w:p w:rsidR="00766C62" w:rsidRDefault="00766C62" w:rsidP="00766C62">
      <w:pPr>
        <w:tabs>
          <w:tab w:val="left" w:pos="993"/>
        </w:tabs>
        <w:spacing w:line="276" w:lineRule="auto"/>
        <w:jc w:val="both"/>
      </w:pPr>
    </w:p>
    <w:p w:rsidR="00766C62" w:rsidRDefault="00766C62" w:rsidP="00766C62">
      <w:pPr>
        <w:tabs>
          <w:tab w:val="left" w:pos="993"/>
        </w:tabs>
        <w:spacing w:line="276" w:lineRule="auto"/>
        <w:jc w:val="both"/>
      </w:pPr>
    </w:p>
    <w:p w:rsidR="00766C62" w:rsidRDefault="00766C62" w:rsidP="00766C62">
      <w:pPr>
        <w:tabs>
          <w:tab w:val="left" w:pos="993"/>
        </w:tabs>
        <w:spacing w:line="276" w:lineRule="auto"/>
        <w:jc w:val="both"/>
      </w:pPr>
    </w:p>
    <w:p w:rsidR="00766C62" w:rsidRDefault="00766C62" w:rsidP="00766C62">
      <w:pPr>
        <w:tabs>
          <w:tab w:val="left" w:pos="993"/>
        </w:tabs>
        <w:spacing w:line="276" w:lineRule="auto"/>
        <w:jc w:val="both"/>
      </w:pPr>
    </w:p>
    <w:p w:rsidR="00766C62" w:rsidRDefault="00766C62" w:rsidP="00766C62">
      <w:pPr>
        <w:tabs>
          <w:tab w:val="left" w:pos="993"/>
        </w:tabs>
        <w:spacing w:line="276" w:lineRule="auto"/>
        <w:jc w:val="both"/>
      </w:pPr>
    </w:p>
    <w:p w:rsidR="00766C62" w:rsidRDefault="00766C62" w:rsidP="00766C62">
      <w:pPr>
        <w:tabs>
          <w:tab w:val="left" w:pos="993"/>
        </w:tabs>
        <w:spacing w:line="276" w:lineRule="auto"/>
        <w:jc w:val="both"/>
      </w:pPr>
    </w:p>
    <w:p w:rsidR="00766C62" w:rsidRDefault="00766C62" w:rsidP="00766C62">
      <w:pPr>
        <w:tabs>
          <w:tab w:val="left" w:pos="993"/>
        </w:tabs>
        <w:spacing w:line="276" w:lineRule="auto"/>
        <w:jc w:val="both"/>
      </w:pPr>
    </w:p>
    <w:p w:rsidR="00766C62" w:rsidRDefault="00766C62" w:rsidP="00766C62">
      <w:pPr>
        <w:tabs>
          <w:tab w:val="left" w:pos="993"/>
        </w:tabs>
        <w:spacing w:line="276" w:lineRule="auto"/>
        <w:jc w:val="both"/>
      </w:pPr>
    </w:p>
    <w:p w:rsidR="00766C62" w:rsidRDefault="00766C62" w:rsidP="00766C62">
      <w:pPr>
        <w:tabs>
          <w:tab w:val="left" w:pos="993"/>
        </w:tabs>
        <w:spacing w:line="276" w:lineRule="auto"/>
        <w:jc w:val="both"/>
      </w:pPr>
    </w:p>
    <w:p w:rsidR="00766C62" w:rsidRDefault="00766C62" w:rsidP="00766C62">
      <w:pPr>
        <w:tabs>
          <w:tab w:val="left" w:pos="993"/>
        </w:tabs>
        <w:spacing w:line="276" w:lineRule="auto"/>
        <w:jc w:val="both"/>
      </w:pPr>
    </w:p>
    <w:p w:rsidR="00766C62" w:rsidRDefault="00766C62" w:rsidP="00766C62">
      <w:pPr>
        <w:tabs>
          <w:tab w:val="left" w:pos="993"/>
        </w:tabs>
        <w:spacing w:line="276" w:lineRule="auto"/>
        <w:jc w:val="both"/>
      </w:pPr>
    </w:p>
    <w:p w:rsidR="00766C62" w:rsidRDefault="00766C62" w:rsidP="00766C62">
      <w:pPr>
        <w:tabs>
          <w:tab w:val="left" w:pos="993"/>
        </w:tabs>
        <w:spacing w:line="276" w:lineRule="auto"/>
        <w:jc w:val="both"/>
      </w:pPr>
    </w:p>
    <w:p w:rsidR="00766C62" w:rsidRDefault="00766C62" w:rsidP="00766C62">
      <w:pPr>
        <w:tabs>
          <w:tab w:val="left" w:pos="993"/>
        </w:tabs>
        <w:spacing w:line="276" w:lineRule="auto"/>
        <w:jc w:val="both"/>
      </w:pPr>
    </w:p>
    <w:p w:rsidR="00766C62" w:rsidRDefault="00766C62" w:rsidP="00766C62">
      <w:pPr>
        <w:tabs>
          <w:tab w:val="left" w:pos="993"/>
        </w:tabs>
        <w:spacing w:line="276" w:lineRule="auto"/>
        <w:jc w:val="both"/>
      </w:pPr>
    </w:p>
    <w:p w:rsidR="00766C62" w:rsidRDefault="00766C62" w:rsidP="00766C62">
      <w:pPr>
        <w:tabs>
          <w:tab w:val="left" w:pos="993"/>
        </w:tabs>
        <w:spacing w:line="276" w:lineRule="auto"/>
        <w:jc w:val="both"/>
      </w:pPr>
    </w:p>
    <w:p w:rsidR="00766C62" w:rsidRDefault="00766C62" w:rsidP="00766C62">
      <w:pPr>
        <w:tabs>
          <w:tab w:val="left" w:pos="993"/>
        </w:tabs>
        <w:spacing w:line="276" w:lineRule="auto"/>
        <w:jc w:val="both"/>
      </w:pPr>
    </w:p>
    <w:p w:rsidR="00766C62" w:rsidRDefault="00766C62" w:rsidP="00766C62">
      <w:pPr>
        <w:tabs>
          <w:tab w:val="left" w:pos="993"/>
        </w:tabs>
        <w:spacing w:line="276" w:lineRule="auto"/>
        <w:jc w:val="both"/>
      </w:pPr>
    </w:p>
    <w:p w:rsidR="00766C62" w:rsidRDefault="00766C62" w:rsidP="00766C62">
      <w:pPr>
        <w:tabs>
          <w:tab w:val="left" w:pos="993"/>
        </w:tabs>
        <w:spacing w:line="276" w:lineRule="auto"/>
        <w:jc w:val="both"/>
      </w:pPr>
    </w:p>
    <w:p w:rsidR="00766C62" w:rsidRDefault="00766C62" w:rsidP="00766C62">
      <w:pPr>
        <w:tabs>
          <w:tab w:val="left" w:pos="993"/>
        </w:tabs>
        <w:spacing w:line="276" w:lineRule="auto"/>
        <w:jc w:val="both"/>
      </w:pPr>
    </w:p>
    <w:p w:rsidR="00766C62" w:rsidRDefault="00766C62" w:rsidP="00766C62">
      <w:pPr>
        <w:tabs>
          <w:tab w:val="left" w:pos="993"/>
        </w:tabs>
        <w:spacing w:line="276" w:lineRule="auto"/>
        <w:jc w:val="both"/>
      </w:pPr>
    </w:p>
    <w:p w:rsidR="00766C62" w:rsidRDefault="00766C62" w:rsidP="00766C62">
      <w:pPr>
        <w:tabs>
          <w:tab w:val="left" w:pos="993"/>
        </w:tabs>
        <w:spacing w:line="276" w:lineRule="auto"/>
        <w:jc w:val="both"/>
        <w:rPr>
          <w:lang w:val="en-US"/>
        </w:rPr>
      </w:pPr>
    </w:p>
    <w:p w:rsidR="00114EAE" w:rsidRPr="000E0831" w:rsidRDefault="00114EAE" w:rsidP="00114EAE">
      <w:pPr>
        <w:pStyle w:val="a6"/>
        <w:spacing w:line="360" w:lineRule="auto"/>
        <w:rPr>
          <w:b/>
          <w:bCs/>
        </w:rPr>
      </w:pPr>
      <w:r w:rsidRPr="000E0831">
        <w:rPr>
          <w:b/>
          <w:bCs/>
        </w:rPr>
        <w:lastRenderedPageBreak/>
        <w:t xml:space="preserve">Экологическая политика </w:t>
      </w:r>
    </w:p>
    <w:p w:rsidR="00114EAE" w:rsidRPr="00114EAE" w:rsidRDefault="00114EAE" w:rsidP="00114EAE">
      <w:pPr>
        <w:pStyle w:val="a6"/>
        <w:ind w:left="5812" w:right="74"/>
        <w:jc w:val="left"/>
        <w:rPr>
          <w:b/>
          <w:bCs/>
          <w:caps w:val="0"/>
          <w:sz w:val="22"/>
          <w:szCs w:val="22"/>
        </w:rPr>
      </w:pPr>
      <w:proofErr w:type="gramStart"/>
      <w:r w:rsidRPr="00114EAE">
        <w:rPr>
          <w:b/>
          <w:bCs/>
          <w:caps w:val="0"/>
          <w:sz w:val="22"/>
          <w:szCs w:val="22"/>
        </w:rPr>
        <w:t>Утверждена</w:t>
      </w:r>
      <w:proofErr w:type="gramEnd"/>
      <w:r w:rsidRPr="00114EAE">
        <w:rPr>
          <w:b/>
          <w:bCs/>
          <w:caps w:val="0"/>
          <w:sz w:val="22"/>
          <w:szCs w:val="22"/>
        </w:rPr>
        <w:t xml:space="preserve"> решением  Совета директоров ОАО   «ТГК-1» </w:t>
      </w:r>
    </w:p>
    <w:p w:rsidR="00114EAE" w:rsidRPr="00114EAE" w:rsidRDefault="00114EAE" w:rsidP="00114EAE">
      <w:pPr>
        <w:pStyle w:val="a6"/>
        <w:ind w:right="74" w:firstLine="6237"/>
        <w:jc w:val="left"/>
        <w:rPr>
          <w:b/>
          <w:bCs/>
          <w:caps w:val="0"/>
          <w:sz w:val="22"/>
          <w:szCs w:val="22"/>
        </w:rPr>
      </w:pPr>
      <w:r w:rsidRPr="00114EAE">
        <w:rPr>
          <w:b/>
          <w:bCs/>
          <w:caps w:val="0"/>
          <w:sz w:val="22"/>
          <w:szCs w:val="22"/>
        </w:rPr>
        <w:t xml:space="preserve">от «05» июня </w:t>
      </w:r>
      <w:smartTag w:uri="urn:schemas-microsoft-com:office:smarttags" w:element="metricconverter">
        <w:smartTagPr>
          <w:attr w:name="ProductID" w:val="2007 г"/>
        </w:smartTagPr>
        <w:r w:rsidRPr="00114EAE">
          <w:rPr>
            <w:b/>
            <w:bCs/>
            <w:caps w:val="0"/>
            <w:sz w:val="22"/>
            <w:szCs w:val="22"/>
          </w:rPr>
          <w:t>2007 г</w:t>
        </w:r>
      </w:smartTag>
      <w:r w:rsidRPr="00114EAE">
        <w:rPr>
          <w:b/>
          <w:bCs/>
          <w:caps w:val="0"/>
          <w:sz w:val="22"/>
          <w:szCs w:val="22"/>
        </w:rPr>
        <w:t>.</w:t>
      </w:r>
    </w:p>
    <w:p w:rsidR="00114EAE" w:rsidRPr="00114EAE" w:rsidRDefault="00114EAE" w:rsidP="00114EAE">
      <w:pPr>
        <w:pStyle w:val="a8"/>
        <w:rPr>
          <w:sz w:val="22"/>
          <w:szCs w:val="22"/>
        </w:rPr>
      </w:pPr>
      <w:r w:rsidRPr="00114EAE">
        <w:rPr>
          <w:sz w:val="22"/>
          <w:szCs w:val="22"/>
        </w:rPr>
        <w:t>ОАО «ТГК-1» - один из крупнейших в Европе межрегиональных ко</w:t>
      </w:r>
      <w:r w:rsidRPr="00114EAE">
        <w:rPr>
          <w:sz w:val="22"/>
          <w:szCs w:val="22"/>
        </w:rPr>
        <w:t>м</w:t>
      </w:r>
      <w:r w:rsidRPr="00114EAE">
        <w:rPr>
          <w:sz w:val="22"/>
          <w:szCs w:val="22"/>
        </w:rPr>
        <w:t>плексов по производству электр</w:t>
      </w:r>
      <w:r w:rsidRPr="00114EAE">
        <w:rPr>
          <w:sz w:val="22"/>
          <w:szCs w:val="22"/>
        </w:rPr>
        <w:t>и</w:t>
      </w:r>
      <w:r w:rsidRPr="00114EAE">
        <w:rPr>
          <w:sz w:val="22"/>
          <w:szCs w:val="22"/>
        </w:rPr>
        <w:t>ческой энергии и по производству, передаче и продаже тепла. В состав компании входят генерирующие активы, расположенные в четырех субъектах Российской Ф</w:t>
      </w:r>
      <w:r w:rsidRPr="00114EAE">
        <w:rPr>
          <w:sz w:val="22"/>
          <w:szCs w:val="22"/>
        </w:rPr>
        <w:t>е</w:t>
      </w:r>
      <w:r w:rsidRPr="00114EAE">
        <w:rPr>
          <w:sz w:val="22"/>
          <w:szCs w:val="22"/>
        </w:rPr>
        <w:t>дерации - Санкт-Петербурге, Ленинградской и Мурманской областях, и в Республике Карелия.</w:t>
      </w:r>
    </w:p>
    <w:p w:rsidR="00114EAE" w:rsidRPr="00114EAE" w:rsidRDefault="00114EAE" w:rsidP="00114EAE">
      <w:pPr>
        <w:pStyle w:val="a8"/>
        <w:rPr>
          <w:color w:val="000000"/>
          <w:sz w:val="22"/>
          <w:szCs w:val="22"/>
        </w:rPr>
      </w:pPr>
      <w:r w:rsidRPr="00114EAE">
        <w:rPr>
          <w:sz w:val="22"/>
          <w:szCs w:val="22"/>
        </w:rPr>
        <w:t xml:space="preserve">Хозяйственная деятельность компании напрямую связана с использованием природных ресурсов и воздействием на окружающую среду. В процессе производственной деятельности образуются отходы производства, выбросы загрязняющих веществ и парниковых газов в атмосферу и сбросы загрязненных </w:t>
      </w:r>
      <w:r w:rsidRPr="00114EAE">
        <w:rPr>
          <w:color w:val="000000"/>
          <w:sz w:val="22"/>
          <w:szCs w:val="22"/>
        </w:rPr>
        <w:t>сточных вод, а также тепловое загрязнение поверхностных водных объектов.</w:t>
      </w:r>
    </w:p>
    <w:p w:rsidR="00114EAE" w:rsidRPr="00114EAE" w:rsidRDefault="00114EAE" w:rsidP="00114EAE">
      <w:pPr>
        <w:pStyle w:val="a8"/>
        <w:rPr>
          <w:sz w:val="22"/>
          <w:szCs w:val="22"/>
        </w:rPr>
      </w:pPr>
      <w:r w:rsidRPr="00114EAE">
        <w:rPr>
          <w:sz w:val="22"/>
          <w:szCs w:val="22"/>
        </w:rPr>
        <w:t xml:space="preserve">Приоритетной задачей компании является повышение ее социальной и экологической ответственности. Поэтому менеджмент и все сотрудники компании принимают на себя следующие обязательства: </w:t>
      </w:r>
    </w:p>
    <w:p w:rsidR="00114EAE" w:rsidRPr="00114EAE" w:rsidRDefault="00114EAE" w:rsidP="00114EAE">
      <w:pPr>
        <w:pStyle w:val="Default"/>
        <w:numPr>
          <w:ilvl w:val="0"/>
          <w:numId w:val="3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114EAE">
        <w:rPr>
          <w:sz w:val="22"/>
          <w:szCs w:val="22"/>
        </w:rPr>
        <w:t>признание конституционного права человека на благоприятную окружающую среду;</w:t>
      </w:r>
    </w:p>
    <w:p w:rsidR="00114EAE" w:rsidRPr="00114EAE" w:rsidRDefault="00114EAE" w:rsidP="00114EAE">
      <w:pPr>
        <w:pStyle w:val="Default"/>
        <w:numPr>
          <w:ilvl w:val="0"/>
          <w:numId w:val="3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114EAE">
        <w:rPr>
          <w:sz w:val="22"/>
          <w:szCs w:val="22"/>
        </w:rPr>
        <w:t>безукоризненное соблюдение требований природоохранного законодательства;</w:t>
      </w:r>
    </w:p>
    <w:p w:rsidR="00114EAE" w:rsidRPr="00114EAE" w:rsidRDefault="00114EAE" w:rsidP="00114EAE">
      <w:pPr>
        <w:pStyle w:val="Default"/>
        <w:numPr>
          <w:ilvl w:val="0"/>
          <w:numId w:val="3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114EAE">
        <w:rPr>
          <w:sz w:val="22"/>
          <w:szCs w:val="22"/>
        </w:rPr>
        <w:t>непрерывное снижение негативного воздействия на окружающую среду предприятий компании, в первую очередь при реализации проектов развития электроэнергетической отрасли в Санкт-Петербурге, Ленинградской, Мурманской областях и Республике Карелия;</w:t>
      </w:r>
    </w:p>
    <w:p w:rsidR="00114EAE" w:rsidRPr="00114EAE" w:rsidRDefault="00114EAE" w:rsidP="00114EAE">
      <w:pPr>
        <w:pStyle w:val="Default"/>
        <w:numPr>
          <w:ilvl w:val="0"/>
          <w:numId w:val="3"/>
        </w:numPr>
        <w:tabs>
          <w:tab w:val="clear" w:pos="360"/>
          <w:tab w:val="num" w:pos="720"/>
        </w:tabs>
        <w:ind w:left="714" w:right="480" w:hanging="357"/>
        <w:jc w:val="both"/>
        <w:rPr>
          <w:sz w:val="22"/>
          <w:szCs w:val="22"/>
        </w:rPr>
      </w:pPr>
      <w:r w:rsidRPr="00114EAE">
        <w:rPr>
          <w:sz w:val="22"/>
          <w:szCs w:val="22"/>
        </w:rPr>
        <w:t xml:space="preserve">рациональное использование природных и энергетических ресурсов; </w:t>
      </w:r>
    </w:p>
    <w:p w:rsidR="00114EAE" w:rsidRPr="00114EAE" w:rsidRDefault="00114EAE" w:rsidP="00114EAE">
      <w:pPr>
        <w:pStyle w:val="a8"/>
        <w:numPr>
          <w:ilvl w:val="0"/>
          <w:numId w:val="3"/>
        </w:numPr>
        <w:tabs>
          <w:tab w:val="clear" w:pos="360"/>
          <w:tab w:val="num" w:pos="720"/>
          <w:tab w:val="num" w:pos="1080"/>
        </w:tabs>
        <w:ind w:left="714" w:hanging="357"/>
        <w:rPr>
          <w:color w:val="000000"/>
          <w:sz w:val="22"/>
          <w:szCs w:val="22"/>
        </w:rPr>
      </w:pPr>
      <w:r w:rsidRPr="00114EAE">
        <w:rPr>
          <w:sz w:val="22"/>
          <w:szCs w:val="22"/>
        </w:rPr>
        <w:t xml:space="preserve">приоритет принятия предупредительных мер над мерами по ликвидации экологических </w:t>
      </w:r>
      <w:r w:rsidRPr="00114EAE">
        <w:rPr>
          <w:color w:val="000000"/>
          <w:sz w:val="22"/>
          <w:szCs w:val="22"/>
        </w:rPr>
        <w:t>негативных воздействий;</w:t>
      </w:r>
    </w:p>
    <w:p w:rsidR="00114EAE" w:rsidRPr="00114EAE" w:rsidRDefault="00114EAE" w:rsidP="00114EAE">
      <w:pPr>
        <w:pStyle w:val="a8"/>
        <w:numPr>
          <w:ilvl w:val="0"/>
          <w:numId w:val="3"/>
        </w:numPr>
        <w:tabs>
          <w:tab w:val="clear" w:pos="360"/>
          <w:tab w:val="num" w:pos="720"/>
          <w:tab w:val="num" w:pos="1080"/>
        </w:tabs>
        <w:ind w:left="714" w:hanging="357"/>
        <w:rPr>
          <w:color w:val="000000"/>
          <w:sz w:val="22"/>
          <w:szCs w:val="22"/>
        </w:rPr>
      </w:pPr>
      <w:r w:rsidRPr="00114EAE">
        <w:rPr>
          <w:color w:val="000000"/>
          <w:sz w:val="22"/>
          <w:szCs w:val="22"/>
        </w:rPr>
        <w:t>открытость и доступность экологической информации;</w:t>
      </w:r>
    </w:p>
    <w:p w:rsidR="00114EAE" w:rsidRPr="00114EAE" w:rsidRDefault="00114EAE" w:rsidP="00114EAE">
      <w:pPr>
        <w:pStyle w:val="Default"/>
        <w:numPr>
          <w:ilvl w:val="0"/>
          <w:numId w:val="3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114EAE">
        <w:rPr>
          <w:sz w:val="22"/>
          <w:szCs w:val="22"/>
        </w:rPr>
        <w:t>совершенствование системы управления компанией в области охраны окружающей среды в соответствии с  требованиями международных стандартов.</w:t>
      </w:r>
    </w:p>
    <w:p w:rsidR="00114EAE" w:rsidRPr="00114EAE" w:rsidRDefault="00114EAE" w:rsidP="00114EAE">
      <w:pPr>
        <w:pStyle w:val="a8"/>
        <w:rPr>
          <w:sz w:val="22"/>
          <w:szCs w:val="22"/>
        </w:rPr>
      </w:pPr>
      <w:r w:rsidRPr="00114EAE">
        <w:rPr>
          <w:sz w:val="22"/>
          <w:szCs w:val="22"/>
        </w:rPr>
        <w:t>Компанией ежегодно составляется и реализуется план природоохранных мероприятий, нацеленных на охрану окружающей среды и выполнение требований природоохранного законодательства Российской Федерации. Обязательство по непрерывному снижению негативного воздействия на окружающую среду будет обеспечено за счет реализации первоочередных природоохранных мероприятий:</w:t>
      </w:r>
    </w:p>
    <w:p w:rsidR="00114EAE" w:rsidRPr="00114EAE" w:rsidRDefault="00114EAE" w:rsidP="00114EAE">
      <w:pPr>
        <w:pStyle w:val="Default"/>
        <w:numPr>
          <w:ilvl w:val="0"/>
          <w:numId w:val="3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114EAE">
        <w:rPr>
          <w:sz w:val="22"/>
          <w:szCs w:val="22"/>
        </w:rPr>
        <w:t xml:space="preserve">строительство и ввод в эксплуатацию высокоэкономичных парогазовых энергоблоков с современными </w:t>
      </w:r>
      <w:proofErr w:type="spellStart"/>
      <w:r w:rsidRPr="00114EAE">
        <w:rPr>
          <w:sz w:val="22"/>
          <w:szCs w:val="22"/>
        </w:rPr>
        <w:t>низкоэмиссионными</w:t>
      </w:r>
      <w:proofErr w:type="spellEnd"/>
      <w:r w:rsidRPr="00114EAE">
        <w:rPr>
          <w:sz w:val="22"/>
          <w:szCs w:val="22"/>
        </w:rPr>
        <w:t xml:space="preserve"> камерами сгорания газовых турбин с целью снижения выбросов оксидов азота и парниковых газов в окружающую атмосферу;</w:t>
      </w:r>
    </w:p>
    <w:p w:rsidR="00114EAE" w:rsidRPr="00114EAE" w:rsidRDefault="00114EAE" w:rsidP="00114EAE">
      <w:pPr>
        <w:pStyle w:val="Default"/>
        <w:numPr>
          <w:ilvl w:val="0"/>
          <w:numId w:val="3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114EAE">
        <w:rPr>
          <w:sz w:val="22"/>
          <w:szCs w:val="22"/>
        </w:rPr>
        <w:t xml:space="preserve">строительство оборотной системы технического водоснабжения на тепловых </w:t>
      </w:r>
      <w:proofErr w:type="gramStart"/>
      <w:r w:rsidRPr="00114EAE">
        <w:rPr>
          <w:sz w:val="22"/>
          <w:szCs w:val="22"/>
        </w:rPr>
        <w:t>электростанциях</w:t>
      </w:r>
      <w:proofErr w:type="gramEnd"/>
      <w:r w:rsidRPr="00114EAE">
        <w:rPr>
          <w:sz w:val="22"/>
          <w:szCs w:val="22"/>
        </w:rPr>
        <w:t xml:space="preserve"> с целью исключения сбросов загрязняющих веществ в водные источники и уменьшения теплового загрязнения поверхностных водных объектов;</w:t>
      </w:r>
    </w:p>
    <w:p w:rsidR="00114EAE" w:rsidRPr="00114EAE" w:rsidRDefault="00114EAE" w:rsidP="00114EAE">
      <w:pPr>
        <w:pStyle w:val="Default"/>
        <w:numPr>
          <w:ilvl w:val="0"/>
          <w:numId w:val="3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114EAE">
        <w:rPr>
          <w:sz w:val="22"/>
          <w:szCs w:val="22"/>
        </w:rPr>
        <w:t>реконструкция тепловых сетей с применением новых теплоизоляционных материалов, позволяющих снизить тепловые потери более чем в 2 раза и, как следствие, минимизировать тепловое загрязнение окружающей среды и выбросы загрязняющих веществ и парниковых газов в атмосферу;</w:t>
      </w:r>
    </w:p>
    <w:p w:rsidR="00114EAE" w:rsidRPr="00114EAE" w:rsidRDefault="00114EAE" w:rsidP="00114EAE">
      <w:pPr>
        <w:pStyle w:val="Default"/>
        <w:numPr>
          <w:ilvl w:val="0"/>
          <w:numId w:val="3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114EAE">
        <w:rPr>
          <w:sz w:val="22"/>
          <w:szCs w:val="22"/>
        </w:rPr>
        <w:t>реконструкция и модернизация гидротурбинного оборудования с использованием новых экологически чистых констру</w:t>
      </w:r>
      <w:r w:rsidRPr="00114EAE">
        <w:rPr>
          <w:sz w:val="22"/>
          <w:szCs w:val="22"/>
        </w:rPr>
        <w:t>к</w:t>
      </w:r>
      <w:r w:rsidRPr="00114EAE">
        <w:rPr>
          <w:sz w:val="22"/>
          <w:szCs w:val="22"/>
        </w:rPr>
        <w:t>ций с целью устранения сбросов загрязнителей в нормальных усл</w:t>
      </w:r>
      <w:r w:rsidRPr="00114EAE">
        <w:rPr>
          <w:sz w:val="22"/>
          <w:szCs w:val="22"/>
        </w:rPr>
        <w:t>о</w:t>
      </w:r>
      <w:r w:rsidRPr="00114EAE">
        <w:rPr>
          <w:sz w:val="22"/>
          <w:szCs w:val="22"/>
        </w:rPr>
        <w:t>виях и нештатных ситуациях;</w:t>
      </w:r>
    </w:p>
    <w:p w:rsidR="00114EAE" w:rsidRPr="00114EAE" w:rsidRDefault="00114EAE" w:rsidP="00114EAE">
      <w:pPr>
        <w:pStyle w:val="Default"/>
        <w:numPr>
          <w:ilvl w:val="0"/>
          <w:numId w:val="3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114EAE">
        <w:rPr>
          <w:sz w:val="22"/>
          <w:szCs w:val="22"/>
        </w:rPr>
        <w:t xml:space="preserve">строительство новых и реконструкция существующих очистных сооружений загрязненных сточных </w:t>
      </w:r>
      <w:proofErr w:type="gramStart"/>
      <w:r w:rsidRPr="00114EAE">
        <w:rPr>
          <w:sz w:val="22"/>
          <w:szCs w:val="22"/>
        </w:rPr>
        <w:t>вод</w:t>
      </w:r>
      <w:proofErr w:type="gramEnd"/>
      <w:r w:rsidRPr="00114EAE">
        <w:rPr>
          <w:sz w:val="22"/>
          <w:szCs w:val="22"/>
        </w:rPr>
        <w:t xml:space="preserve"> с целью исключения попадания загрязняющих веществ в поверхностные водные объекты;</w:t>
      </w:r>
    </w:p>
    <w:p w:rsidR="00114EAE" w:rsidRPr="00114EAE" w:rsidRDefault="00114EAE" w:rsidP="00114EAE">
      <w:pPr>
        <w:pStyle w:val="Default"/>
        <w:numPr>
          <w:ilvl w:val="0"/>
          <w:numId w:val="3"/>
        </w:numPr>
        <w:tabs>
          <w:tab w:val="clear" w:pos="360"/>
          <w:tab w:val="num" w:pos="720"/>
        </w:tabs>
        <w:ind w:left="714" w:hanging="357"/>
        <w:jc w:val="both"/>
        <w:rPr>
          <w:sz w:val="22"/>
          <w:szCs w:val="22"/>
        </w:rPr>
      </w:pPr>
      <w:r w:rsidRPr="00114EAE">
        <w:rPr>
          <w:sz w:val="22"/>
          <w:szCs w:val="22"/>
        </w:rPr>
        <w:t xml:space="preserve">установка </w:t>
      </w:r>
      <w:proofErr w:type="spellStart"/>
      <w:r w:rsidRPr="00114EAE">
        <w:rPr>
          <w:sz w:val="22"/>
          <w:szCs w:val="22"/>
        </w:rPr>
        <w:t>рыбозащитных</w:t>
      </w:r>
      <w:proofErr w:type="spellEnd"/>
      <w:r w:rsidRPr="00114EAE">
        <w:rPr>
          <w:sz w:val="22"/>
          <w:szCs w:val="22"/>
        </w:rPr>
        <w:t xml:space="preserve"> сооружений на водозаборах с целью предупреждения негативного воздействия на объекты животного мира.</w:t>
      </w:r>
    </w:p>
    <w:p w:rsidR="00114EAE" w:rsidRPr="00114EAE" w:rsidRDefault="00114EAE" w:rsidP="00114EAE">
      <w:pPr>
        <w:pStyle w:val="a8"/>
        <w:rPr>
          <w:color w:val="0000FF"/>
          <w:sz w:val="22"/>
          <w:szCs w:val="22"/>
        </w:rPr>
      </w:pPr>
      <w:r w:rsidRPr="00114EAE">
        <w:rPr>
          <w:sz w:val="22"/>
          <w:szCs w:val="22"/>
        </w:rPr>
        <w:t>ОАО «ТГК-1» осуществляет свою производственную деятельность, осознавая ответственность перед обществом за сохранение благоприятной окружающей среды и обеспечение экологической безопасности, за счет обеспечения надежного и экологически безопасного производства, транспорта и распределения энергии, комплексного подхода к использованию природных энергетических ресурсов.</w:t>
      </w:r>
      <w:r w:rsidRPr="00114EAE">
        <w:rPr>
          <w:color w:val="0000FF"/>
          <w:sz w:val="22"/>
          <w:szCs w:val="22"/>
        </w:rPr>
        <w:t xml:space="preserve"> </w:t>
      </w:r>
    </w:p>
    <w:p w:rsidR="00114EAE" w:rsidRPr="00114EAE" w:rsidRDefault="00114EAE" w:rsidP="00114EAE">
      <w:pPr>
        <w:pStyle w:val="a8"/>
        <w:rPr>
          <w:color w:val="0000FF"/>
          <w:sz w:val="22"/>
          <w:szCs w:val="22"/>
        </w:rPr>
      </w:pPr>
    </w:p>
    <w:sectPr w:rsidR="00114EAE" w:rsidRPr="00114EAE" w:rsidSect="004E0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C3611"/>
    <w:multiLevelType w:val="hybridMultilevel"/>
    <w:tmpl w:val="030E8004"/>
    <w:lvl w:ilvl="0" w:tplc="B0CC0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BD373E"/>
    <w:multiLevelType w:val="hybridMultilevel"/>
    <w:tmpl w:val="56DA78D4"/>
    <w:lvl w:ilvl="0" w:tplc="BF8ACA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250760"/>
    <w:multiLevelType w:val="hybridMultilevel"/>
    <w:tmpl w:val="30D840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8DD"/>
    <w:rsid w:val="00114EAE"/>
    <w:rsid w:val="001247E2"/>
    <w:rsid w:val="00140AF8"/>
    <w:rsid w:val="00272930"/>
    <w:rsid w:val="002A0417"/>
    <w:rsid w:val="002D3BE3"/>
    <w:rsid w:val="00312D9E"/>
    <w:rsid w:val="003C78DD"/>
    <w:rsid w:val="004B15D9"/>
    <w:rsid w:val="004E0858"/>
    <w:rsid w:val="004E282F"/>
    <w:rsid w:val="0050092B"/>
    <w:rsid w:val="005370DB"/>
    <w:rsid w:val="00593DB0"/>
    <w:rsid w:val="00630A2E"/>
    <w:rsid w:val="006A71F3"/>
    <w:rsid w:val="00701E7B"/>
    <w:rsid w:val="00766C62"/>
    <w:rsid w:val="00837761"/>
    <w:rsid w:val="009076C3"/>
    <w:rsid w:val="00987F19"/>
    <w:rsid w:val="009B002A"/>
    <w:rsid w:val="009B3376"/>
    <w:rsid w:val="00BD7B00"/>
    <w:rsid w:val="00BE47A7"/>
    <w:rsid w:val="00C6792B"/>
    <w:rsid w:val="00E65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BE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14E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EAE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rsid w:val="00114EAE"/>
    <w:pPr>
      <w:jc w:val="center"/>
    </w:pPr>
    <w:rPr>
      <w:caps/>
    </w:rPr>
  </w:style>
  <w:style w:type="character" w:customStyle="1" w:styleId="a7">
    <w:name w:val="Основной текст Знак"/>
    <w:basedOn w:val="a0"/>
    <w:link w:val="a6"/>
    <w:rsid w:val="00114EAE"/>
    <w:rPr>
      <w:rFonts w:ascii="Times New Roman" w:eastAsia="Times New Roman" w:hAnsi="Times New Roman"/>
      <w:caps/>
      <w:sz w:val="24"/>
      <w:szCs w:val="24"/>
    </w:rPr>
  </w:style>
  <w:style w:type="paragraph" w:styleId="a8">
    <w:name w:val="Body Text Indent"/>
    <w:basedOn w:val="a"/>
    <w:link w:val="a9"/>
    <w:rsid w:val="00114EAE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rsid w:val="00114EA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14E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"Кольский" ОАО "ТГК-1"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Е.Д. Сиротенко</dc:creator>
  <cp:keywords/>
  <dc:description/>
  <cp:lastModifiedBy>tnshtager</cp:lastModifiedBy>
  <cp:revision>3</cp:revision>
  <cp:lastPrinted>2011-02-10T05:00:00Z</cp:lastPrinted>
  <dcterms:created xsi:type="dcterms:W3CDTF">2011-03-29T13:17:00Z</dcterms:created>
  <dcterms:modified xsi:type="dcterms:W3CDTF">2011-05-16T08:44:00Z</dcterms:modified>
</cp:coreProperties>
</file>