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Default="0018105C" w:rsidP="0047428A">
      <w:pPr>
        <w:pStyle w:val="aa"/>
        <w:outlineLvl w:val="0"/>
        <w:rPr>
          <w:b w:val="0"/>
          <w:szCs w:val="24"/>
        </w:rPr>
      </w:pPr>
    </w:p>
    <w:p w:rsidR="008E217D" w:rsidRPr="00471968" w:rsidRDefault="008E217D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Default="00776079" w:rsidP="0047428A">
      <w:pPr>
        <w:jc w:val="center"/>
        <w:rPr>
          <w:sz w:val="24"/>
          <w:szCs w:val="24"/>
        </w:rPr>
      </w:pPr>
    </w:p>
    <w:p w:rsidR="008E217D" w:rsidRPr="00471968" w:rsidRDefault="008E217D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proofErr w:type="gramStart"/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B6564D">
        <w:rPr>
          <w:szCs w:val="24"/>
        </w:rPr>
        <w:t>доверенности</w:t>
      </w:r>
      <w:r w:rsidR="004B1315">
        <w:rPr>
          <w:szCs w:val="24"/>
        </w:rPr>
        <w:t xml:space="preserve">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  <w:proofErr w:type="gramEnd"/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B13414" w:rsidRPr="00AE16D0">
        <w:rPr>
          <w:sz w:val="24"/>
          <w:szCs w:val="24"/>
        </w:rPr>
        <w:t xml:space="preserve">Погрузчик вилочный </w:t>
      </w:r>
      <w:r w:rsidR="00B13414">
        <w:rPr>
          <w:sz w:val="24"/>
          <w:szCs w:val="24"/>
        </w:rPr>
        <w:t xml:space="preserve">          </w:t>
      </w:r>
      <w:r w:rsidR="00B13414" w:rsidRPr="00AE16D0">
        <w:rPr>
          <w:sz w:val="24"/>
          <w:szCs w:val="24"/>
        </w:rPr>
        <w:t>г/</w:t>
      </w:r>
      <w:proofErr w:type="gramStart"/>
      <w:r w:rsidR="00B13414" w:rsidRPr="00AE16D0">
        <w:rPr>
          <w:sz w:val="24"/>
          <w:szCs w:val="24"/>
        </w:rPr>
        <w:t>п</w:t>
      </w:r>
      <w:proofErr w:type="gramEnd"/>
      <w:r w:rsidR="00B13414" w:rsidRPr="00AE16D0">
        <w:rPr>
          <w:sz w:val="24"/>
          <w:szCs w:val="24"/>
        </w:rPr>
        <w:t xml:space="preserve"> 5т</w:t>
      </w:r>
      <w:r w:rsidR="00F5008D">
        <w:rPr>
          <w:sz w:val="24"/>
          <w:szCs w:val="24"/>
        </w:rPr>
        <w:t xml:space="preserve"> 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663BB6">
        <w:rPr>
          <w:sz w:val="24"/>
          <w:szCs w:val="24"/>
        </w:rPr>
        <w:t>5</w:t>
      </w:r>
      <w:bookmarkStart w:id="0" w:name="_GoBack"/>
      <w:bookmarkEnd w:id="0"/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30579E" w:rsidRPr="00471968">
        <w:rPr>
          <w:sz w:val="24"/>
          <w:szCs w:val="24"/>
        </w:rPr>
        <w:t xml:space="preserve"> </w:t>
      </w:r>
      <w:r w:rsidR="00B13414" w:rsidRPr="00B13414">
        <w:rPr>
          <w:sz w:val="24"/>
          <w:szCs w:val="24"/>
        </w:rPr>
        <w:t>Василеостровская ТЭЦ (ТЭЦ-7) филиала «Невский» ОАО «ТГК-1»</w:t>
      </w:r>
      <w:r w:rsidR="0030579E" w:rsidRPr="00471968">
        <w:rPr>
          <w:sz w:val="24"/>
          <w:szCs w:val="24"/>
        </w:rPr>
        <w:t>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 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D74D4A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D74D4A">
        <w:rPr>
          <w:sz w:val="24"/>
          <w:szCs w:val="24"/>
        </w:rPr>
        <w:t>Товар поставляется в срок до 31 октября 2016г. (включительно) в течение 30 (Тридцати) дней с момента получения Заявки на склад Грузополучателя расположенный по адресу:            Санкт-Петербург, В.О., Кожевенная линия, д. 33  (либо самовывозом Грузополучателя со склада Поставщика, расположенного по адресу</w:t>
      </w:r>
      <w:proofErr w:type="gramStart"/>
      <w:r w:rsidRPr="00D74D4A">
        <w:rPr>
          <w:sz w:val="24"/>
          <w:szCs w:val="24"/>
        </w:rPr>
        <w:t>: _____________________).</w:t>
      </w:r>
      <w:proofErr w:type="gramEnd"/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 xml:space="preserve">, 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 xml:space="preserve"> 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lastRenderedPageBreak/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</w:t>
      </w:r>
      <w:proofErr w:type="gramStart"/>
      <w:r w:rsidRPr="00471968">
        <w:t>с даты</w:t>
      </w:r>
      <w:proofErr w:type="gramEnd"/>
      <w:r w:rsidRPr="00471968">
        <w:t xml:space="preserve">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</w:t>
      </w:r>
      <w:proofErr w:type="gramStart"/>
      <w:r w:rsidR="0046440E" w:rsidRPr="00471968">
        <w:rPr>
          <w:sz w:val="24"/>
          <w:szCs w:val="24"/>
        </w:rPr>
        <w:t>оплатить стоимость товара</w:t>
      </w:r>
      <w:proofErr w:type="gramEnd"/>
      <w:r w:rsidR="0046440E" w:rsidRPr="00471968">
        <w:rPr>
          <w:sz w:val="24"/>
          <w:szCs w:val="24"/>
        </w:rPr>
        <w:t xml:space="preserve"> </w:t>
      </w:r>
      <w:r w:rsidR="006E75E4" w:rsidRPr="00471968">
        <w:rPr>
          <w:sz w:val="24"/>
          <w:szCs w:val="24"/>
        </w:rPr>
        <w:t xml:space="preserve">(партии товара) </w:t>
      </w:r>
      <w:r w:rsidR="0046440E" w:rsidRPr="00471968">
        <w:rPr>
          <w:sz w:val="24"/>
          <w:szCs w:val="24"/>
        </w:rPr>
        <w:t>Поставщику  в течение</w:t>
      </w:r>
      <w:r w:rsidR="00E64E0C" w:rsidRPr="00471968">
        <w:rPr>
          <w:sz w:val="24"/>
          <w:szCs w:val="24"/>
        </w:rPr>
        <w:t xml:space="preserve"> </w:t>
      </w:r>
      <w:r w:rsidR="00B57B99">
        <w:rPr>
          <w:sz w:val="24"/>
          <w:szCs w:val="24"/>
        </w:rPr>
        <w:t>3</w:t>
      </w:r>
      <w:r w:rsidR="00EF5D09">
        <w:rPr>
          <w:sz w:val="24"/>
          <w:szCs w:val="24"/>
        </w:rPr>
        <w:t>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 также 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 </w:t>
      </w:r>
      <w:r w:rsidR="003614BF" w:rsidRPr="00471968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471968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2.8. </w:t>
      </w:r>
      <w:r w:rsidRPr="00471968">
        <w:rPr>
          <w:sz w:val="26"/>
          <w:szCs w:val="26"/>
        </w:rPr>
        <w:t>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021F30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142237">
        <w:rPr>
          <w:szCs w:val="24"/>
        </w:rPr>
        <w:t xml:space="preserve">2.9. </w:t>
      </w:r>
      <w:r w:rsidR="00641352" w:rsidRPr="00641352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 xml:space="preserve"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</w:t>
      </w:r>
      <w:r w:rsidR="0006195A" w:rsidRPr="00471968">
        <w:rPr>
          <w:sz w:val="24"/>
          <w:szCs w:val="24"/>
        </w:rPr>
        <w:lastRenderedPageBreak/>
        <w:t>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6A1201" w:rsidRPr="00471968">
        <w:rPr>
          <w:sz w:val="24"/>
          <w:szCs w:val="24"/>
        </w:rPr>
        <w:t xml:space="preserve">Гарантийные сроки на Товар должны быть не </w:t>
      </w:r>
      <w:proofErr w:type="gramStart"/>
      <w:r w:rsidR="006A1201" w:rsidRPr="00471968">
        <w:rPr>
          <w:sz w:val="24"/>
          <w:szCs w:val="24"/>
        </w:rPr>
        <w:t>менее гарантийных</w:t>
      </w:r>
      <w:proofErr w:type="gramEnd"/>
      <w:r w:rsidR="006A1201" w:rsidRPr="00471968">
        <w:rPr>
          <w:sz w:val="24"/>
          <w:szCs w:val="24"/>
        </w:rPr>
        <w:t xml:space="preserve">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B57B99" w:rsidRPr="00B57B99">
        <w:rPr>
          <w:sz w:val="24"/>
          <w:szCs w:val="24"/>
        </w:rPr>
        <w:t>12 месяцев или 2</w:t>
      </w:r>
      <w:r w:rsidR="006F4461">
        <w:rPr>
          <w:sz w:val="24"/>
          <w:szCs w:val="24"/>
        </w:rPr>
        <w:t xml:space="preserve"> </w:t>
      </w:r>
      <w:r w:rsidR="00B57B99" w:rsidRPr="00B57B99">
        <w:rPr>
          <w:sz w:val="24"/>
          <w:szCs w:val="24"/>
        </w:rPr>
        <w:t>000 м/часов</w:t>
      </w:r>
      <w:r w:rsidR="00954C52" w:rsidRPr="00954C52">
        <w:rPr>
          <w:sz w:val="24"/>
          <w:szCs w:val="24"/>
        </w:rPr>
        <w:t>, в зависимости от того, что наступит раньше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 xml:space="preserve">/или 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proofErr w:type="gramStart"/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>, с указанием сроков их устранения или</w:t>
      </w:r>
      <w:proofErr w:type="gramEnd"/>
      <w:r w:rsidR="00823FF9" w:rsidRPr="00471968">
        <w:rPr>
          <w:sz w:val="24"/>
          <w:szCs w:val="24"/>
        </w:rPr>
        <w:t xml:space="preserve">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proofErr w:type="gramStart"/>
      <w:r w:rsidRPr="00471968">
        <w:rPr>
          <w:sz w:val="24"/>
          <w:szCs w:val="24"/>
        </w:rPr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8F169D" w:rsidRPr="00471968">
        <w:rPr>
          <w:sz w:val="24"/>
          <w:szCs w:val="24"/>
        </w:rPr>
        <w:t xml:space="preserve">в том числе в случаях указанных в </w:t>
      </w:r>
      <w:r w:rsidR="00245881" w:rsidRPr="00471968">
        <w:rPr>
          <w:sz w:val="24"/>
          <w:szCs w:val="24"/>
        </w:rPr>
        <w:t>п. 3.5.</w:t>
      </w:r>
      <w:proofErr w:type="gramEnd"/>
      <w:r w:rsidR="00245881" w:rsidRPr="00471968">
        <w:rPr>
          <w:sz w:val="24"/>
          <w:szCs w:val="24"/>
        </w:rPr>
        <w:t xml:space="preserve"> </w:t>
      </w:r>
      <w:proofErr w:type="gramStart"/>
      <w:r w:rsidR="00245881" w:rsidRPr="00471968">
        <w:rPr>
          <w:sz w:val="24"/>
          <w:szCs w:val="24"/>
        </w:rPr>
        <w:t>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  <w:proofErr w:type="gramEnd"/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proofErr w:type="gramStart"/>
      <w:r w:rsidR="00245881" w:rsidRPr="00471968">
        <w:rPr>
          <w:sz w:val="24"/>
          <w:szCs w:val="24"/>
        </w:rPr>
        <w:t>с даты подписания</w:t>
      </w:r>
      <w:proofErr w:type="gramEnd"/>
      <w:r w:rsidR="00245881" w:rsidRPr="00471968">
        <w:rPr>
          <w:sz w:val="24"/>
          <w:szCs w:val="24"/>
        </w:rPr>
        <w:t xml:space="preserve">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proofErr w:type="gramStart"/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</w:t>
      </w:r>
      <w:proofErr w:type="gramEnd"/>
      <w:r w:rsidR="0063669A" w:rsidRPr="00471968">
        <w:rPr>
          <w:szCs w:val="24"/>
        </w:rPr>
        <w:t xml:space="preserve"> </w:t>
      </w:r>
      <w:proofErr w:type="gramStart"/>
      <w:r w:rsidR="0063669A" w:rsidRPr="00471968">
        <w:rPr>
          <w:szCs w:val="24"/>
        </w:rPr>
        <w:t>Договора)</w:t>
      </w:r>
      <w:r w:rsidR="00A15281" w:rsidRPr="00471968">
        <w:rPr>
          <w:szCs w:val="24"/>
        </w:rPr>
        <w:t>.</w:t>
      </w:r>
      <w:proofErr w:type="gramEnd"/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proofErr w:type="gramStart"/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</w:t>
      </w:r>
      <w:proofErr w:type="gramEnd"/>
      <w:r w:rsidR="0063669A" w:rsidRPr="00471968">
        <w:rPr>
          <w:sz w:val="24"/>
          <w:szCs w:val="24"/>
        </w:rPr>
        <w:t xml:space="preserve">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 xml:space="preserve">Договора) 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 от 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  <w:proofErr w:type="gramEnd"/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 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4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E43966" w:rsidRPr="00471968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CC0297" w:rsidRP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0297">
        <w:rPr>
          <w:sz w:val="24"/>
          <w:szCs w:val="24"/>
        </w:rPr>
        <w:t xml:space="preserve">5.5. </w:t>
      </w:r>
      <w:proofErr w:type="gramStart"/>
      <w:r w:rsidRPr="00CC0297">
        <w:rPr>
          <w:sz w:val="24"/>
          <w:szCs w:val="24"/>
        </w:rPr>
        <w:t>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CC0297">
        <w:rPr>
          <w:sz w:val="24"/>
          <w:szCs w:val="24"/>
        </w:rPr>
        <w:t xml:space="preserve"> возмещении (вычете) сумм НДС, уплатить Покупателю неустойку в размере 120 % от суммы </w:t>
      </w:r>
      <w:proofErr w:type="gramStart"/>
      <w:r w:rsidRPr="00CC0297">
        <w:rPr>
          <w:sz w:val="24"/>
          <w:szCs w:val="24"/>
        </w:rPr>
        <w:t>НДС</w:t>
      </w:r>
      <w:proofErr w:type="gramEnd"/>
      <w:r w:rsidRPr="00CC0297">
        <w:rPr>
          <w:sz w:val="24"/>
          <w:szCs w:val="24"/>
        </w:rPr>
        <w:t xml:space="preserve"> в отношении которой получен отказ налогового органа в возмещении (вычете).</w:t>
      </w:r>
    </w:p>
    <w:p w:rsid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 xml:space="preserve">            </w:t>
      </w:r>
      <w:proofErr w:type="gramStart"/>
      <w:r w:rsidRPr="00CC0297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CC0297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8E217D" w:rsidRPr="00CC0297" w:rsidRDefault="008E217D" w:rsidP="00CC0297">
      <w:pPr>
        <w:tabs>
          <w:tab w:val="left" w:pos="709"/>
        </w:tabs>
        <w:jc w:val="both"/>
        <w:rPr>
          <w:sz w:val="24"/>
          <w:szCs w:val="24"/>
        </w:rPr>
      </w:pPr>
    </w:p>
    <w:p w:rsidR="00CC0297" w:rsidRP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D524DA">
      <w:pPr>
        <w:tabs>
          <w:tab w:val="left" w:pos="1276"/>
          <w:tab w:val="left" w:pos="4253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</w:t>
      </w:r>
      <w:proofErr w:type="gramStart"/>
      <w:r w:rsidR="00126A03" w:rsidRPr="00471968">
        <w:rPr>
          <w:sz w:val="24"/>
          <w:szCs w:val="24"/>
        </w:rPr>
        <w:t>ств Ст</w:t>
      </w:r>
      <w:proofErr w:type="gramEnd"/>
      <w:r w:rsidR="00126A03" w:rsidRPr="00471968">
        <w:rPr>
          <w:sz w:val="24"/>
          <w:szCs w:val="24"/>
        </w:rPr>
        <w:t>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D524DA" w:rsidRPr="00D524DA" w:rsidRDefault="00D524DA" w:rsidP="00D524DA">
      <w:pPr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8. КОНФИДЕНЦИАЛЬНОСТЬ</w:t>
      </w:r>
    </w:p>
    <w:p w:rsidR="00D524DA" w:rsidRPr="00D524DA" w:rsidRDefault="00D524DA" w:rsidP="00D524DA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D524DA" w:rsidRPr="00D524DA" w:rsidRDefault="00D524DA" w:rsidP="00D524DA">
      <w:pPr>
        <w:jc w:val="both"/>
        <w:rPr>
          <w:sz w:val="24"/>
          <w:szCs w:val="24"/>
        </w:rPr>
      </w:pPr>
      <w:r w:rsidRPr="00D524DA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D524DA" w:rsidRPr="00D524DA" w:rsidRDefault="00D524DA" w:rsidP="00D524DA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8.2. Обработка персональных данных осуществляется </w:t>
      </w:r>
      <w:r w:rsidR="00A80D1E"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только в целях выполнения обязательств по настоящему договору и предполагает осуществление </w:t>
      </w:r>
      <w:r w:rsidR="00A80D1E"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следующих действий (операций) как с использованием, так и без использования средств автоматизации: сбор, запись, уто</w:t>
      </w:r>
      <w:r w:rsidRPr="00D524DA">
        <w:rPr>
          <w:sz w:val="24"/>
        </w:rPr>
        <w:t>ч</w:t>
      </w:r>
      <w:r w:rsidRPr="00D524DA">
        <w:rPr>
          <w:sz w:val="24"/>
          <w:szCs w:val="24"/>
        </w:rPr>
        <w:t>нение, хранение, передачу, использование и уничтожение.</w:t>
      </w:r>
    </w:p>
    <w:p w:rsidR="00D524DA" w:rsidRPr="00D524DA" w:rsidRDefault="00A80D1E" w:rsidP="00A80D1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="00D524DA" w:rsidRPr="00D524DA">
        <w:rPr>
          <w:sz w:val="24"/>
          <w:szCs w:val="24"/>
        </w:rPr>
        <w:t xml:space="preserve"> обязан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:rsidR="00D524DA" w:rsidRPr="00D524DA" w:rsidRDefault="00A80D1E" w:rsidP="00A80D1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="00D524DA" w:rsidRPr="00D524DA">
        <w:rPr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D524DA" w:rsidRDefault="00D524DA" w:rsidP="00A80D1E">
      <w:pPr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данных.</w:t>
      </w:r>
    </w:p>
    <w:p w:rsidR="00D524DA" w:rsidRDefault="00D524DA" w:rsidP="00D524DA">
      <w:pPr>
        <w:jc w:val="both"/>
        <w:rPr>
          <w:sz w:val="24"/>
          <w:szCs w:val="24"/>
        </w:rPr>
      </w:pPr>
    </w:p>
    <w:p w:rsidR="008E217D" w:rsidRDefault="008E217D" w:rsidP="00D524DA">
      <w:pPr>
        <w:jc w:val="both"/>
        <w:rPr>
          <w:sz w:val="24"/>
          <w:szCs w:val="24"/>
        </w:rPr>
      </w:pPr>
    </w:p>
    <w:p w:rsidR="008E217D" w:rsidRPr="00D524DA" w:rsidRDefault="008E217D" w:rsidP="00D524DA">
      <w:pPr>
        <w:jc w:val="both"/>
        <w:rPr>
          <w:sz w:val="24"/>
          <w:szCs w:val="24"/>
        </w:rPr>
      </w:pPr>
    </w:p>
    <w:p w:rsidR="00D524DA" w:rsidRPr="00D524DA" w:rsidRDefault="00D524DA" w:rsidP="00D524D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9. ЗАКЛЮЧИТЕЛЬНЫЕ ПОЛОЖЕНИЯ</w:t>
      </w:r>
    </w:p>
    <w:p w:rsidR="00D524DA" w:rsidRPr="00D524DA" w:rsidRDefault="00D524DA" w:rsidP="00D524D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9.2. Во всем, что не урегулировано Договором, Стороны руководствуются действующим законодательством РФ.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9.3. Сторона не вправе осуществить уступку прав по Договору без письменного согласия другой Стороны.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9.4.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D524DA">
        <w:rPr>
          <w:sz w:val="24"/>
          <w:szCs w:val="24"/>
        </w:rPr>
        <w:t>с даты отправки</w:t>
      </w:r>
      <w:proofErr w:type="gramEnd"/>
      <w:r w:rsidRPr="00D524DA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</w:t>
      </w:r>
      <w:r w:rsidRPr="00D524DA">
        <w:rPr>
          <w:sz w:val="24"/>
          <w:szCs w:val="24"/>
        </w:rPr>
        <w:tab/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9.5.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</w:t>
      </w:r>
      <w:proofErr w:type="gramStart"/>
      <w:r w:rsidRPr="00D524DA">
        <w:rPr>
          <w:sz w:val="24"/>
          <w:szCs w:val="24"/>
        </w:rPr>
        <w:t>с даты</w:t>
      </w:r>
      <w:proofErr w:type="gramEnd"/>
      <w:r w:rsidRPr="00D524DA">
        <w:rPr>
          <w:sz w:val="24"/>
          <w:szCs w:val="24"/>
        </w:rPr>
        <w:t xml:space="preserve"> таких изменений известить об этом другую Сторону с одновременным представлением подтверждающих документов.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9.6.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9.7.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 9.8.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D524DA" w:rsidRPr="00D524DA" w:rsidRDefault="00D524DA" w:rsidP="00D524DA">
      <w:pPr>
        <w:ind w:left="-42" w:right="-142" w:firstLine="582"/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9.9.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9.10.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  <w:shd w:val="clear" w:color="auto" w:fill="FFFFFF"/>
        </w:rPr>
      </w:pPr>
      <w:r w:rsidRPr="00D524DA">
        <w:rPr>
          <w:sz w:val="24"/>
          <w:szCs w:val="24"/>
        </w:rPr>
        <w:t xml:space="preserve">            9.11. </w:t>
      </w:r>
      <w:proofErr w:type="gramStart"/>
      <w:r w:rsidRPr="00D524DA">
        <w:rPr>
          <w:sz w:val="24"/>
          <w:szCs w:val="24"/>
          <w:shd w:val="clear" w:color="auto" w:fill="FFFFFF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A80D1E">
        <w:rPr>
          <w:sz w:val="24"/>
          <w:szCs w:val="24"/>
          <w:shd w:val="clear" w:color="auto" w:fill="FFFFFF"/>
        </w:rPr>
        <w:t xml:space="preserve"> </w:t>
      </w:r>
      <w:hyperlink r:id="rId15" w:history="1"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Elkin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.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IB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@</w:t>
        </w:r>
        <w:proofErr w:type="spellStart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tgc</w:t>
        </w:r>
        <w:proofErr w:type="spellEnd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1.</w:t>
        </w:r>
        <w:proofErr w:type="spellStart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A80D1E" w:rsidRPr="00A80D1E">
        <w:rPr>
          <w:sz w:val="24"/>
          <w:szCs w:val="24"/>
          <w:shd w:val="clear" w:color="auto" w:fill="FFFFFF"/>
        </w:rPr>
        <w:t xml:space="preserve"> </w:t>
      </w:r>
      <w:r w:rsidRPr="00D524DA">
        <w:rPr>
          <w:sz w:val="24"/>
          <w:szCs w:val="24"/>
          <w:shd w:val="clear" w:color="auto" w:fill="FFFFFF"/>
        </w:rPr>
        <w:t>в течение 5 (пяти) календарных дней после таких изменений с подтверждением соответствующими документами.</w:t>
      </w:r>
      <w:proofErr w:type="gramEnd"/>
    </w:p>
    <w:p w:rsidR="00D524DA" w:rsidRPr="00D524DA" w:rsidRDefault="00D524DA" w:rsidP="00D524DA">
      <w:pPr>
        <w:ind w:firstLine="720"/>
        <w:jc w:val="both"/>
        <w:rPr>
          <w:sz w:val="24"/>
          <w:szCs w:val="24"/>
          <w:shd w:val="clear" w:color="auto" w:fill="FFFFFF"/>
          <w:lang w:eastAsia="en-US"/>
        </w:rPr>
      </w:pPr>
      <w:r w:rsidRPr="00D524DA">
        <w:rPr>
          <w:sz w:val="24"/>
          <w:szCs w:val="24"/>
          <w:shd w:val="clear" w:color="auto" w:fill="FFFFFF"/>
          <w:lang w:eastAsia="en-US"/>
        </w:rPr>
        <w:t xml:space="preserve">Покупатель вправе в одностороннем порядке отказаться от исполнения </w:t>
      </w:r>
      <w:r w:rsidR="00534B4B">
        <w:rPr>
          <w:sz w:val="24"/>
          <w:szCs w:val="24"/>
          <w:shd w:val="clear" w:color="auto" w:fill="FFFFFF"/>
          <w:lang w:eastAsia="en-US"/>
        </w:rPr>
        <w:t>Д</w:t>
      </w:r>
      <w:r w:rsidRPr="00D524DA">
        <w:rPr>
          <w:sz w:val="24"/>
          <w:szCs w:val="24"/>
          <w:shd w:val="clear" w:color="auto" w:fill="FFFFFF"/>
          <w:lang w:eastAsia="en-US"/>
        </w:rPr>
        <w:t xml:space="preserve">оговора в случае неисполнения Поставщиков  обязанности, предусмотренной данным пунктом настоящего договора. В этом случае настоящий договор считается расторгнутым </w:t>
      </w:r>
      <w:proofErr w:type="gramStart"/>
      <w:r w:rsidRPr="00D524DA">
        <w:rPr>
          <w:sz w:val="24"/>
          <w:szCs w:val="24"/>
          <w:shd w:val="clear" w:color="auto" w:fill="FFFFFF"/>
          <w:lang w:eastAsia="en-US"/>
        </w:rPr>
        <w:t>с даты получения</w:t>
      </w:r>
      <w:proofErr w:type="gramEnd"/>
      <w:r w:rsidRPr="00D524DA">
        <w:rPr>
          <w:sz w:val="24"/>
          <w:szCs w:val="24"/>
          <w:shd w:val="clear" w:color="auto" w:fill="FFFFFF"/>
          <w:lang w:eastAsia="en-US"/>
        </w:rPr>
        <w:t xml:space="preserve">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            9.12. Договор составлен в 2 (двух) экземплярах, равных по юридической силе, по одному </w:t>
      </w:r>
      <w:proofErr w:type="gramStart"/>
      <w:r w:rsidRPr="00D524DA">
        <w:rPr>
          <w:sz w:val="24"/>
          <w:szCs w:val="24"/>
        </w:rPr>
        <w:t>-д</w:t>
      </w:r>
      <w:proofErr w:type="gramEnd"/>
      <w:r w:rsidRPr="00D524DA">
        <w:rPr>
          <w:sz w:val="24"/>
          <w:szCs w:val="24"/>
        </w:rPr>
        <w:t>ля каждой из Сторон.</w:t>
      </w:r>
    </w:p>
    <w:p w:rsidR="008E217D" w:rsidRDefault="00D524DA" w:rsidP="00D524D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     9.13. Все приложения, поименованные в  настоящем договоре, являются неотъемлемой его частью.  </w:t>
      </w:r>
    </w:p>
    <w:p w:rsidR="00D524DA" w:rsidRPr="00D524DA" w:rsidRDefault="008E217D" w:rsidP="00D524D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524DA" w:rsidRPr="00D524DA">
        <w:rPr>
          <w:sz w:val="24"/>
          <w:szCs w:val="24"/>
        </w:rPr>
        <w:t xml:space="preserve">К Договору прилагаются: </w:t>
      </w:r>
    </w:p>
    <w:p w:rsidR="00D96E72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 xml:space="preserve"> 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F10302" w:rsidRDefault="00F10302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030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F10302">
        <w:rPr>
          <w:sz w:val="24"/>
          <w:szCs w:val="24"/>
        </w:rPr>
        <w:t xml:space="preserve"> -  «</w:t>
      </w:r>
      <w:proofErr w:type="gramStart"/>
      <w:r w:rsidRPr="00F10302">
        <w:rPr>
          <w:sz w:val="24"/>
          <w:szCs w:val="24"/>
        </w:rPr>
        <w:t>Заверения сторон</w:t>
      </w:r>
      <w:proofErr w:type="gramEnd"/>
      <w:r w:rsidRPr="00F10302">
        <w:rPr>
          <w:sz w:val="24"/>
          <w:szCs w:val="24"/>
        </w:rPr>
        <w:t>»</w:t>
      </w:r>
    </w:p>
    <w:p w:rsidR="008E217D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8E217D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6F4461" w:rsidRDefault="006F4461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6F4461" w:rsidRDefault="006F4461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8E217D" w:rsidRPr="00471968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D37A03" w:rsidRPr="00D37A03" w:rsidRDefault="00D37A03" w:rsidP="0047428A">
      <w:pPr>
        <w:ind w:left="60" w:firstLine="300"/>
        <w:jc w:val="both"/>
        <w:rPr>
          <w:sz w:val="24"/>
          <w:szCs w:val="24"/>
          <w:lang w:val="en-US"/>
        </w:rPr>
      </w:pPr>
    </w:p>
    <w:p w:rsidR="00D96E72" w:rsidRPr="003B2ACA" w:rsidRDefault="003B2ACA" w:rsidP="003B2ACA">
      <w:pPr>
        <w:pStyle w:val="af5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3B2ACA">
        <w:rPr>
          <w:rFonts w:ascii="Times New Roman" w:hAnsi="Times New Roman"/>
          <w:sz w:val="24"/>
          <w:szCs w:val="24"/>
          <w:lang w:eastAsia="ru-RU"/>
        </w:rPr>
        <w:t>АДРЕСА, БАНКОВСКИЕ РЕКВИЗИТЫ И ПОДПИСИ СТОРОН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0377DC" w:rsidRPr="00471968" w:rsidRDefault="00214975" w:rsidP="000377DC">
            <w:pPr>
              <w:outlineLvl w:val="0"/>
              <w:rPr>
                <w:sz w:val="24"/>
                <w:szCs w:val="24"/>
              </w:rPr>
            </w:pPr>
            <w:r w:rsidRPr="00214975">
              <w:rPr>
                <w:sz w:val="24"/>
                <w:szCs w:val="24"/>
              </w:rPr>
              <w:t>Грузополучатель: Василеостровская ТЭЦ (ТЭЦ-7) филиала «Невский» ОАО «ТГК-1»</w:t>
            </w:r>
            <w:r w:rsidR="00B402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F5197" w:rsidRDefault="00AF5197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0065E4" w:rsidRDefault="000065E4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0065E4" w:rsidRDefault="000065E4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0065E4" w:rsidRDefault="000065E4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6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Pr="002221E6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Pr="00471968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039"/>
        <w:gridCol w:w="850"/>
        <w:gridCol w:w="851"/>
        <w:gridCol w:w="681"/>
        <w:gridCol w:w="1587"/>
        <w:gridCol w:w="1701"/>
      </w:tblGrid>
      <w:tr w:rsidR="00B24816" w:rsidRPr="00471968" w:rsidTr="00BB2666">
        <w:trPr>
          <w:cantSplit/>
          <w:trHeight w:val="16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 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(шт.)    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Цена, за единицу (шт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) Товара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>(руб.),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>НДС (18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%)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471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 НДС (руб.)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24816" w:rsidRPr="00471968" w:rsidTr="004916C2">
        <w:trPr>
          <w:cantSplit/>
          <w:trHeight w:val="14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1A" w:rsidRPr="00471968" w:rsidRDefault="0031191A" w:rsidP="001876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3D29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3D29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9916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B266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B266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786459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05C" w:rsidRPr="00471968" w:rsidRDefault="001810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A4600">
        <w:rPr>
          <w:rFonts w:ascii="Times New Roman" w:hAnsi="Times New Roman" w:cs="Times New Roman"/>
          <w:sz w:val="24"/>
          <w:szCs w:val="24"/>
        </w:rPr>
        <w:t xml:space="preserve">    Стоимость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</w:t>
      </w:r>
      <w:proofErr w:type="gramStart"/>
      <w:r w:rsidR="004F24E8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_______</w:t>
      </w:r>
      <w:r w:rsidR="00DC2886" w:rsidRPr="00DC2886">
        <w:rPr>
          <w:rFonts w:ascii="Times New Roman" w:hAnsi="Times New Roman" w:cs="Times New Roman"/>
          <w:sz w:val="24"/>
          <w:szCs w:val="24"/>
        </w:rPr>
        <w:t xml:space="preserve"> </w:t>
      </w:r>
      <w:r w:rsidR="004F24E8">
        <w:rPr>
          <w:rFonts w:ascii="Times New Roman" w:hAnsi="Times New Roman" w:cs="Times New Roman"/>
          <w:sz w:val="24"/>
          <w:szCs w:val="24"/>
        </w:rPr>
        <w:t>(</w:t>
      </w:r>
      <w:r w:rsidR="000065E4">
        <w:rPr>
          <w:rFonts w:ascii="Times New Roman" w:hAnsi="Times New Roman" w:cs="Times New Roman"/>
          <w:sz w:val="24"/>
          <w:szCs w:val="24"/>
        </w:rPr>
        <w:t>_______________</w:t>
      </w:r>
      <w:r w:rsidRPr="008A46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8A4600">
        <w:rPr>
          <w:rFonts w:ascii="Times New Roman" w:hAnsi="Times New Roman" w:cs="Times New Roman"/>
          <w:sz w:val="24"/>
          <w:szCs w:val="24"/>
        </w:rPr>
        <w:t>рублей</w:t>
      </w:r>
      <w:r w:rsidR="00DC2886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</w:t>
      </w:r>
      <w:r w:rsidR="00DC2886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8A4600">
        <w:rPr>
          <w:rFonts w:ascii="Times New Roman" w:hAnsi="Times New Roman" w:cs="Times New Roman"/>
          <w:sz w:val="24"/>
          <w:szCs w:val="24"/>
        </w:rPr>
        <w:t>, в том числе НДС</w:t>
      </w:r>
      <w:r w:rsidR="00786459">
        <w:rPr>
          <w:rFonts w:ascii="Times New Roman" w:hAnsi="Times New Roman" w:cs="Times New Roman"/>
          <w:sz w:val="24"/>
          <w:szCs w:val="24"/>
        </w:rPr>
        <w:t xml:space="preserve"> 18% </w:t>
      </w:r>
      <w:r w:rsidRPr="008A4600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__________</w:t>
      </w:r>
      <w:r w:rsidRPr="008A4600">
        <w:rPr>
          <w:rFonts w:ascii="Times New Roman" w:hAnsi="Times New Roman" w:cs="Times New Roman"/>
          <w:sz w:val="24"/>
          <w:szCs w:val="24"/>
        </w:rPr>
        <w:t xml:space="preserve"> (</w:t>
      </w:r>
      <w:r w:rsidR="000065E4">
        <w:rPr>
          <w:rFonts w:ascii="Times New Roman" w:hAnsi="Times New Roman" w:cs="Times New Roman"/>
          <w:sz w:val="24"/>
          <w:szCs w:val="24"/>
        </w:rPr>
        <w:t>________________</w:t>
      </w:r>
      <w:r w:rsidRPr="008A4600">
        <w:rPr>
          <w:rFonts w:ascii="Times New Roman" w:hAnsi="Times New Roman" w:cs="Times New Roman"/>
          <w:sz w:val="24"/>
          <w:szCs w:val="24"/>
        </w:rPr>
        <w:t>) рубл</w:t>
      </w:r>
      <w:r w:rsidR="00DC2886">
        <w:rPr>
          <w:rFonts w:ascii="Times New Roman" w:hAnsi="Times New Roman" w:cs="Times New Roman"/>
          <w:sz w:val="24"/>
          <w:szCs w:val="24"/>
        </w:rPr>
        <w:t xml:space="preserve">я </w:t>
      </w:r>
      <w:r w:rsidR="000065E4">
        <w:rPr>
          <w:rFonts w:ascii="Times New Roman" w:hAnsi="Times New Roman" w:cs="Times New Roman"/>
          <w:sz w:val="24"/>
          <w:szCs w:val="24"/>
        </w:rPr>
        <w:t>_____</w:t>
      </w:r>
      <w:r w:rsidR="00DC2886">
        <w:rPr>
          <w:rFonts w:ascii="Times New Roman" w:hAnsi="Times New Roman" w:cs="Times New Roman"/>
          <w:sz w:val="24"/>
          <w:szCs w:val="24"/>
        </w:rPr>
        <w:t xml:space="preserve"> копейки</w:t>
      </w:r>
      <w:r w:rsidRPr="008A4600">
        <w:rPr>
          <w:rFonts w:ascii="Times New Roman" w:hAnsi="Times New Roman" w:cs="Times New Roman"/>
          <w:sz w:val="24"/>
          <w:szCs w:val="24"/>
        </w:rPr>
        <w:t>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Pr="00471968" w:rsidRDefault="00EA6135" w:rsidP="00EA6135">
      <w:pPr>
        <w:numPr>
          <w:ilvl w:val="0"/>
          <w:numId w:val="8"/>
        </w:numPr>
        <w:jc w:val="center"/>
        <w:outlineLvl w:val="0"/>
        <w:rPr>
          <w:sz w:val="24"/>
          <w:szCs w:val="24"/>
        </w:rPr>
      </w:pPr>
      <w:r w:rsidRPr="00471968">
        <w:rPr>
          <w:sz w:val="24"/>
          <w:szCs w:val="24"/>
        </w:rPr>
        <w:t>АДРЕСА И БАНКОВСКИЕ РЕКВИЗИТЫ СТОРОН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EA6135" w:rsidRPr="00471968" w:rsidRDefault="00214975" w:rsidP="00214975">
            <w:pPr>
              <w:outlineLvl w:val="0"/>
              <w:rPr>
                <w:sz w:val="24"/>
                <w:szCs w:val="24"/>
              </w:rPr>
            </w:pPr>
            <w:r w:rsidRPr="00214975">
              <w:rPr>
                <w:sz w:val="24"/>
                <w:szCs w:val="24"/>
              </w:rPr>
              <w:t>Грузополучатель: Василеостровская ТЭЦ (ТЭЦ-7) филиала «Невский» ОАО «ТГК-1»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EA6135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0065E4" w:rsidRDefault="000065E4" w:rsidP="008C0063">
      <w:pPr>
        <w:jc w:val="both"/>
        <w:rPr>
          <w:sz w:val="24"/>
          <w:szCs w:val="24"/>
        </w:rPr>
      </w:pPr>
    </w:p>
    <w:p w:rsidR="000065E4" w:rsidRDefault="000065E4" w:rsidP="008C0063">
      <w:pPr>
        <w:jc w:val="both"/>
        <w:rPr>
          <w:sz w:val="24"/>
          <w:szCs w:val="24"/>
        </w:rPr>
      </w:pPr>
    </w:p>
    <w:p w:rsidR="000065E4" w:rsidRDefault="000065E4" w:rsidP="008C0063">
      <w:pPr>
        <w:jc w:val="both"/>
        <w:rPr>
          <w:sz w:val="24"/>
          <w:szCs w:val="24"/>
        </w:rPr>
      </w:pPr>
    </w:p>
    <w:p w:rsidR="000065E4" w:rsidRDefault="000065E4" w:rsidP="008C0063">
      <w:pPr>
        <w:jc w:val="both"/>
        <w:rPr>
          <w:sz w:val="24"/>
          <w:szCs w:val="24"/>
        </w:rPr>
      </w:pP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 xml:space="preserve">Приложение № </w:t>
      </w:r>
      <w:r w:rsidR="00F10302">
        <w:rPr>
          <w:sz w:val="24"/>
          <w:szCs w:val="24"/>
        </w:rPr>
        <w:t>2</w:t>
      </w:r>
      <w:r w:rsidRPr="000065E4">
        <w:rPr>
          <w:sz w:val="24"/>
          <w:szCs w:val="24"/>
        </w:rPr>
        <w:t xml:space="preserve"> 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к Договору поставки № ______</w:t>
      </w:r>
      <w:r w:rsidR="00F10302">
        <w:rPr>
          <w:sz w:val="24"/>
          <w:szCs w:val="24"/>
        </w:rPr>
        <w:t>___</w:t>
      </w:r>
      <w:r w:rsidRPr="000065E4">
        <w:rPr>
          <w:sz w:val="24"/>
          <w:szCs w:val="24"/>
        </w:rPr>
        <w:t xml:space="preserve"> 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№  ___________________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от «__»  ________ ____</w:t>
      </w:r>
      <w:proofErr w:type="gramStart"/>
      <w:r w:rsidRPr="000065E4">
        <w:rPr>
          <w:sz w:val="24"/>
          <w:szCs w:val="24"/>
        </w:rPr>
        <w:t>г</w:t>
      </w:r>
      <w:proofErr w:type="gramEnd"/>
      <w:r w:rsidRPr="000065E4">
        <w:rPr>
          <w:sz w:val="24"/>
          <w:szCs w:val="24"/>
        </w:rPr>
        <w:t xml:space="preserve">. </w:t>
      </w:r>
    </w:p>
    <w:p w:rsidR="000065E4" w:rsidRDefault="000065E4" w:rsidP="000065E4">
      <w:pPr>
        <w:jc w:val="center"/>
        <w:rPr>
          <w:sz w:val="24"/>
          <w:szCs w:val="24"/>
        </w:rPr>
      </w:pPr>
    </w:p>
    <w:p w:rsidR="000065E4" w:rsidRDefault="000065E4" w:rsidP="000065E4">
      <w:pPr>
        <w:jc w:val="center"/>
        <w:rPr>
          <w:sz w:val="24"/>
          <w:szCs w:val="24"/>
        </w:rPr>
      </w:pPr>
      <w:r w:rsidRPr="000065E4">
        <w:rPr>
          <w:sz w:val="24"/>
          <w:szCs w:val="24"/>
        </w:rPr>
        <w:t>Заверения сторон</w:t>
      </w:r>
    </w:p>
    <w:p w:rsidR="000065E4" w:rsidRPr="000065E4" w:rsidRDefault="000065E4" w:rsidP="000065E4">
      <w:pPr>
        <w:jc w:val="center"/>
        <w:rPr>
          <w:sz w:val="24"/>
          <w:szCs w:val="24"/>
        </w:rPr>
      </w:pP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1.1.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1.2.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1.3. 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1.4.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1.5.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Учредителем/учредителями Стороны являются лица, не являющиеся массовыми учредителем/учредителями.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1.6.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1.7.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1.8.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0065E4">
        <w:rPr>
          <w:sz w:val="24"/>
          <w:szCs w:val="24"/>
        </w:rPr>
        <w:t>но</w:t>
      </w:r>
      <w:proofErr w:type="gramEnd"/>
      <w:r w:rsidRPr="000065E4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2.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3. </w:t>
      </w:r>
      <w:r w:rsidR="00706544">
        <w:rPr>
          <w:sz w:val="24"/>
          <w:szCs w:val="24"/>
        </w:rPr>
        <w:tab/>
      </w:r>
      <w:proofErr w:type="gramStart"/>
      <w:r w:rsidRPr="000065E4">
        <w:rPr>
          <w:sz w:val="24"/>
          <w:szCs w:val="24"/>
        </w:rPr>
        <w:t>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  <w:proofErr w:type="gramEnd"/>
    </w:p>
    <w:p w:rsidR="000065E4" w:rsidRDefault="000065E4" w:rsidP="000065E4">
      <w:pPr>
        <w:jc w:val="both"/>
        <w:rPr>
          <w:sz w:val="24"/>
          <w:szCs w:val="24"/>
        </w:rPr>
      </w:pPr>
    </w:p>
    <w:p w:rsidR="003066AB" w:rsidRDefault="003066AB" w:rsidP="003066AB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Покупатель:</w:t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  <w:t>Поставщик:</w:t>
      </w:r>
    </w:p>
    <w:p w:rsidR="004450C8" w:rsidRPr="003066AB" w:rsidRDefault="004450C8" w:rsidP="003066AB">
      <w:pPr>
        <w:jc w:val="both"/>
        <w:rPr>
          <w:sz w:val="24"/>
          <w:szCs w:val="24"/>
        </w:rPr>
      </w:pPr>
    </w:p>
    <w:p w:rsidR="003066AB" w:rsidRPr="003066AB" w:rsidRDefault="003066AB" w:rsidP="003066AB">
      <w:pPr>
        <w:jc w:val="both"/>
        <w:rPr>
          <w:sz w:val="24"/>
          <w:szCs w:val="24"/>
        </w:rPr>
      </w:pPr>
    </w:p>
    <w:p w:rsidR="000065E4" w:rsidRPr="00F87D13" w:rsidRDefault="003066AB" w:rsidP="003066AB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________________</w:t>
      </w:r>
      <w:r w:rsidR="00713E48">
        <w:rPr>
          <w:sz w:val="24"/>
          <w:szCs w:val="24"/>
        </w:rPr>
        <w:t>______  А.Г. Соколов</w:t>
      </w:r>
      <w:r w:rsidR="00713E48">
        <w:rPr>
          <w:sz w:val="24"/>
          <w:szCs w:val="24"/>
        </w:rPr>
        <w:tab/>
      </w:r>
      <w:r w:rsidR="00713E48">
        <w:rPr>
          <w:sz w:val="24"/>
          <w:szCs w:val="24"/>
        </w:rPr>
        <w:tab/>
        <w:t xml:space="preserve">           _______________________</w:t>
      </w:r>
    </w:p>
    <w:sectPr w:rsidR="000065E4" w:rsidRPr="00F87D13" w:rsidSect="008E6092">
      <w:headerReference w:type="even" r:id="rId17"/>
      <w:footerReference w:type="even" r:id="rId18"/>
      <w:footerReference w:type="default" r:id="rId19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C9" w:rsidRDefault="005313C9">
      <w:r>
        <w:separator/>
      </w:r>
    </w:p>
  </w:endnote>
  <w:endnote w:type="continuationSeparator" w:id="0">
    <w:p w:rsidR="005313C9" w:rsidRDefault="0053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67718D" wp14:editId="557BF002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63BB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63BB6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C9" w:rsidRDefault="005313C9">
      <w:r>
        <w:separator/>
      </w:r>
    </w:p>
  </w:footnote>
  <w:footnote w:type="continuationSeparator" w:id="0">
    <w:p w:rsidR="005313C9" w:rsidRDefault="00531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6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65E4"/>
    <w:rsid w:val="00007E6D"/>
    <w:rsid w:val="0001084B"/>
    <w:rsid w:val="00012E61"/>
    <w:rsid w:val="000138DF"/>
    <w:rsid w:val="00014D47"/>
    <w:rsid w:val="00021373"/>
    <w:rsid w:val="00021F30"/>
    <w:rsid w:val="00022D60"/>
    <w:rsid w:val="000260BC"/>
    <w:rsid w:val="0003657C"/>
    <w:rsid w:val="000377DC"/>
    <w:rsid w:val="00041A70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7BA5"/>
    <w:rsid w:val="000E06A6"/>
    <w:rsid w:val="000E49FC"/>
    <w:rsid w:val="000F6522"/>
    <w:rsid w:val="00102C9E"/>
    <w:rsid w:val="00104CA8"/>
    <w:rsid w:val="00110801"/>
    <w:rsid w:val="00126A03"/>
    <w:rsid w:val="00130BF6"/>
    <w:rsid w:val="00131307"/>
    <w:rsid w:val="00131839"/>
    <w:rsid w:val="00142237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C5FA2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975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D164A"/>
    <w:rsid w:val="002D2C77"/>
    <w:rsid w:val="002D764D"/>
    <w:rsid w:val="002E5569"/>
    <w:rsid w:val="002E6D0E"/>
    <w:rsid w:val="002F537F"/>
    <w:rsid w:val="00300164"/>
    <w:rsid w:val="00301413"/>
    <w:rsid w:val="00302F5A"/>
    <w:rsid w:val="0030528C"/>
    <w:rsid w:val="0030579E"/>
    <w:rsid w:val="003066AB"/>
    <w:rsid w:val="00306D37"/>
    <w:rsid w:val="0031191A"/>
    <w:rsid w:val="00311AB2"/>
    <w:rsid w:val="00334B0E"/>
    <w:rsid w:val="00340379"/>
    <w:rsid w:val="003456A5"/>
    <w:rsid w:val="00346647"/>
    <w:rsid w:val="00347494"/>
    <w:rsid w:val="003508B4"/>
    <w:rsid w:val="00350907"/>
    <w:rsid w:val="00354D6C"/>
    <w:rsid w:val="00361242"/>
    <w:rsid w:val="003614BF"/>
    <w:rsid w:val="00362826"/>
    <w:rsid w:val="003641D5"/>
    <w:rsid w:val="00375D9B"/>
    <w:rsid w:val="00383592"/>
    <w:rsid w:val="003A3DD5"/>
    <w:rsid w:val="003B2ACA"/>
    <w:rsid w:val="003B75A7"/>
    <w:rsid w:val="003C079A"/>
    <w:rsid w:val="003C1227"/>
    <w:rsid w:val="003C30B5"/>
    <w:rsid w:val="003C4E91"/>
    <w:rsid w:val="003C6770"/>
    <w:rsid w:val="003D297A"/>
    <w:rsid w:val="003D541B"/>
    <w:rsid w:val="003D7E5B"/>
    <w:rsid w:val="003E3D3E"/>
    <w:rsid w:val="003F073D"/>
    <w:rsid w:val="003F19F6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450C8"/>
    <w:rsid w:val="004522BC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916C2"/>
    <w:rsid w:val="004A70AD"/>
    <w:rsid w:val="004B09FD"/>
    <w:rsid w:val="004B1315"/>
    <w:rsid w:val="004B1381"/>
    <w:rsid w:val="004B37E8"/>
    <w:rsid w:val="004B56CF"/>
    <w:rsid w:val="004B5AD7"/>
    <w:rsid w:val="004B6A0E"/>
    <w:rsid w:val="004C6E06"/>
    <w:rsid w:val="004D026F"/>
    <w:rsid w:val="004D0DD6"/>
    <w:rsid w:val="004D6C23"/>
    <w:rsid w:val="004E538D"/>
    <w:rsid w:val="004F0EA0"/>
    <w:rsid w:val="004F24E8"/>
    <w:rsid w:val="004F7CA4"/>
    <w:rsid w:val="00516942"/>
    <w:rsid w:val="00520A0F"/>
    <w:rsid w:val="00521F44"/>
    <w:rsid w:val="0052570D"/>
    <w:rsid w:val="005313C9"/>
    <w:rsid w:val="00534B4B"/>
    <w:rsid w:val="005433C9"/>
    <w:rsid w:val="0055125E"/>
    <w:rsid w:val="00551E56"/>
    <w:rsid w:val="00552ABE"/>
    <w:rsid w:val="00553A23"/>
    <w:rsid w:val="00555302"/>
    <w:rsid w:val="0055614A"/>
    <w:rsid w:val="0056151E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3C0E"/>
    <w:rsid w:val="005A7386"/>
    <w:rsid w:val="005A7956"/>
    <w:rsid w:val="005A7E4C"/>
    <w:rsid w:val="005B08B0"/>
    <w:rsid w:val="005B277C"/>
    <w:rsid w:val="005B4C8B"/>
    <w:rsid w:val="005B4ED4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3BB6"/>
    <w:rsid w:val="00666E10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7F04"/>
    <w:rsid w:val="006D21FF"/>
    <w:rsid w:val="006D28FF"/>
    <w:rsid w:val="006E291B"/>
    <w:rsid w:val="006E4592"/>
    <w:rsid w:val="006E510D"/>
    <w:rsid w:val="006E56CC"/>
    <w:rsid w:val="006E66F3"/>
    <w:rsid w:val="006E75E4"/>
    <w:rsid w:val="006F265E"/>
    <w:rsid w:val="006F37C5"/>
    <w:rsid w:val="006F4461"/>
    <w:rsid w:val="006F4AD5"/>
    <w:rsid w:val="006F4DC6"/>
    <w:rsid w:val="006F5A3B"/>
    <w:rsid w:val="00706544"/>
    <w:rsid w:val="007073F1"/>
    <w:rsid w:val="00710DF2"/>
    <w:rsid w:val="00713E48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51E9"/>
    <w:rsid w:val="007504C7"/>
    <w:rsid w:val="00754A4F"/>
    <w:rsid w:val="007569E9"/>
    <w:rsid w:val="0076183F"/>
    <w:rsid w:val="0076343F"/>
    <w:rsid w:val="00773746"/>
    <w:rsid w:val="00773F57"/>
    <w:rsid w:val="00776079"/>
    <w:rsid w:val="00781975"/>
    <w:rsid w:val="00786459"/>
    <w:rsid w:val="007926AC"/>
    <w:rsid w:val="007A365A"/>
    <w:rsid w:val="007A5E7A"/>
    <w:rsid w:val="007A6723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56CB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44077"/>
    <w:rsid w:val="008614D9"/>
    <w:rsid w:val="0086271C"/>
    <w:rsid w:val="0086760B"/>
    <w:rsid w:val="00876465"/>
    <w:rsid w:val="008764B5"/>
    <w:rsid w:val="00881B8B"/>
    <w:rsid w:val="008832D8"/>
    <w:rsid w:val="00890E45"/>
    <w:rsid w:val="008979FA"/>
    <w:rsid w:val="008A1E0F"/>
    <w:rsid w:val="008A2CA2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C2072"/>
    <w:rsid w:val="008D1296"/>
    <w:rsid w:val="008D27A2"/>
    <w:rsid w:val="008D53E0"/>
    <w:rsid w:val="008E0217"/>
    <w:rsid w:val="008E217D"/>
    <w:rsid w:val="008E4A23"/>
    <w:rsid w:val="008E6092"/>
    <w:rsid w:val="008F169D"/>
    <w:rsid w:val="008F3A38"/>
    <w:rsid w:val="008F72DC"/>
    <w:rsid w:val="00902A2F"/>
    <w:rsid w:val="0091438C"/>
    <w:rsid w:val="009237A6"/>
    <w:rsid w:val="00924818"/>
    <w:rsid w:val="00931A24"/>
    <w:rsid w:val="00932063"/>
    <w:rsid w:val="009320B9"/>
    <w:rsid w:val="0093327B"/>
    <w:rsid w:val="00943B70"/>
    <w:rsid w:val="00950050"/>
    <w:rsid w:val="00954C52"/>
    <w:rsid w:val="00955259"/>
    <w:rsid w:val="009602BC"/>
    <w:rsid w:val="009616E1"/>
    <w:rsid w:val="0096796C"/>
    <w:rsid w:val="00967DA7"/>
    <w:rsid w:val="00973785"/>
    <w:rsid w:val="00976638"/>
    <w:rsid w:val="00981088"/>
    <w:rsid w:val="00987717"/>
    <w:rsid w:val="009916EB"/>
    <w:rsid w:val="00994265"/>
    <w:rsid w:val="009A2D25"/>
    <w:rsid w:val="009B2038"/>
    <w:rsid w:val="009C0ED0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0D1E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13414"/>
    <w:rsid w:val="00B20823"/>
    <w:rsid w:val="00B22B2F"/>
    <w:rsid w:val="00B24816"/>
    <w:rsid w:val="00B256C3"/>
    <w:rsid w:val="00B25DD1"/>
    <w:rsid w:val="00B27D9D"/>
    <w:rsid w:val="00B301B7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57B99"/>
    <w:rsid w:val="00B63ED0"/>
    <w:rsid w:val="00B6564D"/>
    <w:rsid w:val="00B67CCC"/>
    <w:rsid w:val="00B702AE"/>
    <w:rsid w:val="00B72FD3"/>
    <w:rsid w:val="00B75F8B"/>
    <w:rsid w:val="00B770F4"/>
    <w:rsid w:val="00B847E6"/>
    <w:rsid w:val="00B93FD2"/>
    <w:rsid w:val="00B94192"/>
    <w:rsid w:val="00B949A4"/>
    <w:rsid w:val="00B955F7"/>
    <w:rsid w:val="00B9675E"/>
    <w:rsid w:val="00B97425"/>
    <w:rsid w:val="00BA2745"/>
    <w:rsid w:val="00BB14B3"/>
    <w:rsid w:val="00BB2666"/>
    <w:rsid w:val="00BC5D4D"/>
    <w:rsid w:val="00BD3831"/>
    <w:rsid w:val="00BD73ED"/>
    <w:rsid w:val="00BE0A7F"/>
    <w:rsid w:val="00BE3631"/>
    <w:rsid w:val="00BE50F0"/>
    <w:rsid w:val="00BF3398"/>
    <w:rsid w:val="00C01219"/>
    <w:rsid w:val="00C06B94"/>
    <w:rsid w:val="00C153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0297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2019C"/>
    <w:rsid w:val="00D31C14"/>
    <w:rsid w:val="00D35FEF"/>
    <w:rsid w:val="00D37A03"/>
    <w:rsid w:val="00D40F67"/>
    <w:rsid w:val="00D4464F"/>
    <w:rsid w:val="00D50146"/>
    <w:rsid w:val="00D524DA"/>
    <w:rsid w:val="00D5318D"/>
    <w:rsid w:val="00D6246B"/>
    <w:rsid w:val="00D706D7"/>
    <w:rsid w:val="00D74A97"/>
    <w:rsid w:val="00D74D4A"/>
    <w:rsid w:val="00D82EDF"/>
    <w:rsid w:val="00D8406B"/>
    <w:rsid w:val="00D8463B"/>
    <w:rsid w:val="00D84874"/>
    <w:rsid w:val="00D86853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2886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26D1"/>
    <w:rsid w:val="00E27111"/>
    <w:rsid w:val="00E30A1D"/>
    <w:rsid w:val="00E3287A"/>
    <w:rsid w:val="00E34D22"/>
    <w:rsid w:val="00E43966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0302"/>
    <w:rsid w:val="00F111FB"/>
    <w:rsid w:val="00F13316"/>
    <w:rsid w:val="00F25EE3"/>
    <w:rsid w:val="00F2650E"/>
    <w:rsid w:val="00F31A1F"/>
    <w:rsid w:val="00F36E0E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26E6"/>
    <w:rsid w:val="00FB3C8D"/>
    <w:rsid w:val="00FB67D3"/>
    <w:rsid w:val="00FC0A17"/>
    <w:rsid w:val="00FC2BBF"/>
    <w:rsid w:val="00FC6E96"/>
    <w:rsid w:val="00FD0D5C"/>
    <w:rsid w:val="00FD1A64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  <w:style w:type="character" w:styleId="af6">
    <w:name w:val="Hyperlink"/>
    <w:basedOn w:val="a0"/>
    <w:unhideWhenUsed/>
    <w:rsid w:val="00A80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  <w:style w:type="character" w:styleId="af6">
    <w:name w:val="Hyperlink"/>
    <w:basedOn w:val="a0"/>
    <w:unhideWhenUsed/>
    <w:rsid w:val="00A80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main?base=PAP;n=6202;fld=1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lkin.IB@tgc1.ru" TargetMode="Externa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consultantplus://offline/ref=7B7E4BF55F4A4E6B049FDAF748E449302DC67D173C34DC7282D34B0A5236ED8EC29C973F5D2424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1833C15-2531-411E-AB74-6B478E16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</Pages>
  <Words>3206</Words>
  <Characters>23701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26854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Элькин</cp:lastModifiedBy>
  <cp:revision>140</cp:revision>
  <cp:lastPrinted>2015-09-29T07:55:00Z</cp:lastPrinted>
  <dcterms:created xsi:type="dcterms:W3CDTF">2014-03-12T06:08:00Z</dcterms:created>
  <dcterms:modified xsi:type="dcterms:W3CDTF">2016-06-20T07:54:00Z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