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FF165C" w:rsidRDefault="00464210" w:rsidP="00C97F8C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bCs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165C" w:rsidRPr="00FF165C">
        <w:rPr>
          <w:rFonts w:ascii="Times New Roman" w:hAnsi="Times New Roman" w:cs="Times New Roman"/>
          <w:bCs/>
          <w:sz w:val="24"/>
          <w:szCs w:val="24"/>
        </w:rPr>
        <w:t xml:space="preserve">Реконструкция инфраструктуры ЦОД ТЭЦ-15, ТЭЦ-17 филиала «Невский»  </w:t>
      </w:r>
    </w:p>
    <w:p w:rsidR="00464210" w:rsidRPr="00A77985" w:rsidRDefault="00464210" w:rsidP="00C97F8C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165C" w:rsidRPr="00FF165C">
        <w:rPr>
          <w:rFonts w:ascii="Times New Roman" w:hAnsi="Times New Roman" w:cs="Times New Roman"/>
          <w:b/>
          <w:bCs/>
          <w:sz w:val="24"/>
          <w:szCs w:val="24"/>
        </w:rPr>
        <w:t>1090/5.24-3257</w:t>
      </w:r>
      <w:bookmarkStart w:id="1" w:name="_GoBack"/>
      <w:bookmarkEnd w:id="1"/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2" w:name="_Toc90385071"/>
      <w:bookmarkStart w:id="3" w:name="_Ref93090116"/>
      <w:bookmarkStart w:id="4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справка об отсутствии (наличии) у контрагента задолженности перед государственными органами (в случае, если с контрагентом ранее не </w:t>
      </w:r>
      <w:r w:rsidRPr="001D467B">
        <w:rPr>
          <w:sz w:val="24"/>
          <w:szCs w:val="24"/>
        </w:rPr>
        <w:lastRenderedPageBreak/>
        <w:t>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DA148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EB7E2D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964F5"/>
    <w:rsid w:val="001D467B"/>
    <w:rsid w:val="00202D76"/>
    <w:rsid w:val="002E5F41"/>
    <w:rsid w:val="00464210"/>
    <w:rsid w:val="005605F9"/>
    <w:rsid w:val="005B0C7B"/>
    <w:rsid w:val="006A2588"/>
    <w:rsid w:val="007D0632"/>
    <w:rsid w:val="007E1DF7"/>
    <w:rsid w:val="008779EA"/>
    <w:rsid w:val="008C6E28"/>
    <w:rsid w:val="00B56CCE"/>
    <w:rsid w:val="00B87B3A"/>
    <w:rsid w:val="00C73306"/>
    <w:rsid w:val="00C97F8C"/>
    <w:rsid w:val="00CA7052"/>
    <w:rsid w:val="00DA148B"/>
    <w:rsid w:val="00EB7E2D"/>
    <w:rsid w:val="00EE4669"/>
    <w:rsid w:val="00F230DD"/>
    <w:rsid w:val="00FF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6F42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2014-09-09T11:48:00Z</cp:lastPrinted>
  <dcterms:created xsi:type="dcterms:W3CDTF">2016-04-19T06:36:00Z</dcterms:created>
  <dcterms:modified xsi:type="dcterms:W3CDTF">2016-04-19T06:36:00Z</dcterms:modified>
</cp:coreProperties>
</file>