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2317D0">
        <w:rPr>
          <w:rFonts w:ascii="Times New Roman" w:hAnsi="Times New Roman" w:cs="Times New Roman"/>
        </w:rPr>
        <w:t xml:space="preserve">№836-2015 от 30.10.2015 </w:t>
      </w:r>
      <w:r w:rsidRPr="00532FF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4C2A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B4566" w:rsidRPr="004B4566">
        <w:rPr>
          <w:rFonts w:ascii="Times New Roman" w:hAnsi="Times New Roman" w:cs="Times New Roman"/>
          <w:sz w:val="24"/>
          <w:szCs w:val="24"/>
        </w:rPr>
        <w:t>расходных материалов, запчастей для ПК</w:t>
      </w:r>
      <w:r w:rsidR="002B60B1">
        <w:rPr>
          <w:rFonts w:ascii="Times New Roman" w:hAnsi="Times New Roman" w:cs="Times New Roman"/>
          <w:sz w:val="24"/>
          <w:szCs w:val="24"/>
        </w:rPr>
        <w:t xml:space="preserve"> и оргтехники</w:t>
      </w:r>
      <w:r w:rsidR="004B4566">
        <w:rPr>
          <w:rFonts w:ascii="Times New Roman" w:hAnsi="Times New Roman" w:cs="Times New Roman"/>
          <w:sz w:val="24"/>
          <w:szCs w:val="24"/>
        </w:rPr>
        <w:t>,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</w:t>
      </w:r>
      <w:r w:rsidR="004B4566">
        <w:rPr>
          <w:rFonts w:ascii="Times New Roman" w:hAnsi="Times New Roman" w:cs="Times New Roman"/>
          <w:sz w:val="24"/>
          <w:szCs w:val="24"/>
        </w:rPr>
        <w:t>п</w:t>
      </w:r>
      <w:r w:rsidR="004B4566" w:rsidRPr="004B4566">
        <w:rPr>
          <w:rFonts w:ascii="Times New Roman" w:hAnsi="Times New Roman" w:cs="Times New Roman"/>
          <w:sz w:val="24"/>
          <w:szCs w:val="24"/>
        </w:rPr>
        <w:t>оставк</w:t>
      </w:r>
      <w:r w:rsidR="004B4566">
        <w:rPr>
          <w:rFonts w:ascii="Times New Roman" w:hAnsi="Times New Roman" w:cs="Times New Roman"/>
          <w:sz w:val="24"/>
          <w:szCs w:val="24"/>
        </w:rPr>
        <w:t>у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оборудования, не требующего монтажа, стоимостью менее 40 000 руб. для филиала "</w:t>
      </w:r>
      <w:r w:rsidR="002B60B1">
        <w:rPr>
          <w:rFonts w:ascii="Times New Roman" w:hAnsi="Times New Roman" w:cs="Times New Roman"/>
          <w:sz w:val="24"/>
          <w:szCs w:val="24"/>
        </w:rPr>
        <w:t>Карельский</w:t>
      </w:r>
      <w:r w:rsidR="004B4566" w:rsidRPr="004B4566">
        <w:rPr>
          <w:rFonts w:ascii="Times New Roman" w:hAnsi="Times New Roman" w:cs="Times New Roman"/>
          <w:sz w:val="24"/>
          <w:szCs w:val="24"/>
        </w:rPr>
        <w:t>"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8F08C6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bookmarkStart w:id="0" w:name="_GoBack"/>
      <w:bookmarkEnd w:id="0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количества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>, указанных в спецификации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 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0A374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4C2A1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3F" w:rsidRDefault="0034073F" w:rsidP="006A7087">
      <w:pPr>
        <w:spacing w:after="0" w:line="240" w:lineRule="auto"/>
      </w:pPr>
      <w:r>
        <w:separator/>
      </w:r>
    </w:p>
  </w:endnote>
  <w:endnote w:type="continuationSeparator" w:id="0">
    <w:p w:rsidR="0034073F" w:rsidRDefault="0034073F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8F08C6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7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8F08C6">
                      <w:rPr>
                        <w:rFonts w:ascii="Cambria" w:hAnsi="Cambria"/>
                        <w:noProof/>
                        <w:color w:val="000000"/>
                      </w:rPr>
                      <w:t>7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3F" w:rsidRDefault="0034073F" w:rsidP="006A7087">
      <w:pPr>
        <w:spacing w:after="0" w:line="240" w:lineRule="auto"/>
      </w:pPr>
      <w:r>
        <w:separator/>
      </w:r>
    </w:p>
  </w:footnote>
  <w:footnote w:type="continuationSeparator" w:id="0">
    <w:p w:rsidR="0034073F" w:rsidRDefault="0034073F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0A374C"/>
    <w:rsid w:val="00116B8F"/>
    <w:rsid w:val="00151752"/>
    <w:rsid w:val="001A6AFB"/>
    <w:rsid w:val="002317D0"/>
    <w:rsid w:val="00281CE2"/>
    <w:rsid w:val="002A6458"/>
    <w:rsid w:val="002B60B1"/>
    <w:rsid w:val="002B7C7E"/>
    <w:rsid w:val="00304E2F"/>
    <w:rsid w:val="00326536"/>
    <w:rsid w:val="0034014A"/>
    <w:rsid w:val="0034073F"/>
    <w:rsid w:val="0037444A"/>
    <w:rsid w:val="00417891"/>
    <w:rsid w:val="00435A41"/>
    <w:rsid w:val="004B4566"/>
    <w:rsid w:val="004C2A15"/>
    <w:rsid w:val="004C2BEC"/>
    <w:rsid w:val="00532FF4"/>
    <w:rsid w:val="00545321"/>
    <w:rsid w:val="005D4487"/>
    <w:rsid w:val="00650B5B"/>
    <w:rsid w:val="00691B5D"/>
    <w:rsid w:val="006A7087"/>
    <w:rsid w:val="006F4686"/>
    <w:rsid w:val="007174F3"/>
    <w:rsid w:val="00791401"/>
    <w:rsid w:val="007F6F81"/>
    <w:rsid w:val="0081002A"/>
    <w:rsid w:val="00851142"/>
    <w:rsid w:val="008F08C6"/>
    <w:rsid w:val="00900EA6"/>
    <w:rsid w:val="009157CE"/>
    <w:rsid w:val="00963D01"/>
    <w:rsid w:val="009E628B"/>
    <w:rsid w:val="00B010DB"/>
    <w:rsid w:val="00B03F1B"/>
    <w:rsid w:val="00B2158D"/>
    <w:rsid w:val="00B3239C"/>
    <w:rsid w:val="00B3731E"/>
    <w:rsid w:val="00B64BD4"/>
    <w:rsid w:val="00B957FB"/>
    <w:rsid w:val="00BD7D3B"/>
    <w:rsid w:val="00C528AC"/>
    <w:rsid w:val="00CC33A9"/>
    <w:rsid w:val="00D631E2"/>
    <w:rsid w:val="00D847C6"/>
    <w:rsid w:val="00D85829"/>
    <w:rsid w:val="00DC137F"/>
    <w:rsid w:val="00E022CB"/>
    <w:rsid w:val="00E67CBA"/>
    <w:rsid w:val="00EB47EB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6</cp:revision>
  <cp:lastPrinted>2015-11-30T06:33:00Z</cp:lastPrinted>
  <dcterms:created xsi:type="dcterms:W3CDTF">2015-11-23T05:45:00Z</dcterms:created>
  <dcterms:modified xsi:type="dcterms:W3CDTF">2015-11-30T10:52:00Z</dcterms:modified>
</cp:coreProperties>
</file>