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464210">
      <w:pPr>
        <w:shd w:val="clear" w:color="auto" w:fill="FFFFFF"/>
        <w:spacing w:line="557" w:lineRule="exact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3F6A5E" w:rsidRDefault="00464210" w:rsidP="008A2AAD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6A5E" w:rsidRPr="003F6A5E">
        <w:rPr>
          <w:rFonts w:ascii="Times New Roman" w:hAnsi="Times New Roman" w:cs="Times New Roman"/>
          <w:sz w:val="24"/>
          <w:szCs w:val="24"/>
        </w:rPr>
        <w:t>Поставка расходных материалов, запчастей для ПК и оргтехники. Поставка оборудования, не требующего монтажа, стоимостью менее 40 000 руб.</w:t>
      </w:r>
      <w:r w:rsidR="003F6A5E"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64210" w:rsidRPr="00A77985" w:rsidRDefault="00464210" w:rsidP="008A2AAD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2AAD" w:rsidRPr="00BA2F00">
        <w:rPr>
          <w:rFonts w:ascii="Times New Roman" w:hAnsi="Times New Roman" w:cs="Times New Roman"/>
          <w:b/>
          <w:bCs/>
          <w:sz w:val="24"/>
          <w:szCs w:val="24"/>
        </w:rPr>
        <w:t>1090/7.1-</w:t>
      </w:r>
      <w:r w:rsidR="00384079" w:rsidRPr="00BA2F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2F00" w:rsidRPr="00BA2F00">
        <w:rPr>
          <w:rFonts w:ascii="Times New Roman" w:hAnsi="Times New Roman" w:cs="Times New Roman"/>
          <w:b/>
          <w:sz w:val="24"/>
          <w:szCs w:val="24"/>
        </w:rPr>
        <w:t>4119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1" w:name="_Toc90385071"/>
      <w:bookmarkStart w:id="2" w:name="_Ref93090116"/>
      <w:bookmarkStart w:id="3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1"/>
      <w:bookmarkEnd w:id="2"/>
      <w:bookmarkEnd w:id="3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 xml:space="preserve"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</w:t>
      </w:r>
      <w:r w:rsidRPr="00C73306">
        <w:rPr>
          <w:sz w:val="24"/>
          <w:szCs w:val="24"/>
        </w:rPr>
        <w:lastRenderedPageBreak/>
        <w:t>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4" w:name="_Ref86827631"/>
      <w:bookmarkStart w:id="5" w:name="_Toc90385072"/>
      <w:bookmarkStart w:id="6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4"/>
      <w:bookmarkEnd w:id="5"/>
      <w:bookmarkEnd w:id="6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lastRenderedPageBreak/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анкету по установленной в Документации по запросу предложений форме — (форма 7);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 (форма – приложение №13);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0704AE" w:rsidP="00070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bookmarkStart w:id="7" w:name="_GoBack"/>
            <w:bookmarkEnd w:id="7"/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3F6A5E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704AE"/>
    <w:rsid w:val="000964F5"/>
    <w:rsid w:val="001D467B"/>
    <w:rsid w:val="00202D76"/>
    <w:rsid w:val="002E5F41"/>
    <w:rsid w:val="00384079"/>
    <w:rsid w:val="003F6A5E"/>
    <w:rsid w:val="00464210"/>
    <w:rsid w:val="005605F9"/>
    <w:rsid w:val="005B0C7B"/>
    <w:rsid w:val="006A2588"/>
    <w:rsid w:val="007D0632"/>
    <w:rsid w:val="007E1DF7"/>
    <w:rsid w:val="008779EA"/>
    <w:rsid w:val="008A2AAD"/>
    <w:rsid w:val="008C6E28"/>
    <w:rsid w:val="00AD0BA3"/>
    <w:rsid w:val="00B56CCE"/>
    <w:rsid w:val="00B87B3A"/>
    <w:rsid w:val="00BA2F00"/>
    <w:rsid w:val="00C73306"/>
    <w:rsid w:val="00CA7052"/>
    <w:rsid w:val="00DA148B"/>
    <w:rsid w:val="00E76B81"/>
    <w:rsid w:val="00EE4669"/>
    <w:rsid w:val="00F230DD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7</cp:revision>
  <cp:lastPrinted>2015-11-24T11:22:00Z</cp:lastPrinted>
  <dcterms:created xsi:type="dcterms:W3CDTF">2015-11-23T05:46:00Z</dcterms:created>
  <dcterms:modified xsi:type="dcterms:W3CDTF">2015-11-24T11:37:00Z</dcterms:modified>
</cp:coreProperties>
</file>