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961958" w:rsidRDefault="00464210" w:rsidP="00961958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:rsidR="00464210" w:rsidRPr="00961958" w:rsidRDefault="00464210" w:rsidP="00464210">
      <w:pPr>
        <w:shd w:val="clear" w:color="auto" w:fill="FFFFFF"/>
        <w:spacing w:line="226" w:lineRule="exact"/>
        <w:ind w:left="158"/>
        <w:jc w:val="right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961958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464210" w:rsidRPr="00961958" w:rsidRDefault="00464210" w:rsidP="00464210">
      <w:pPr>
        <w:shd w:val="clear" w:color="auto" w:fill="FFFFFF"/>
        <w:tabs>
          <w:tab w:val="left" w:leader="underscore" w:pos="7800"/>
        </w:tabs>
        <w:spacing w:line="557" w:lineRule="exact"/>
        <w:ind w:left="235"/>
        <w:rPr>
          <w:rFonts w:ascii="Times New Roman" w:hAnsi="Times New Roman" w:cs="Times New Roman"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961958" w:rsidRPr="00961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106E" w:rsidRPr="00CA106E">
        <w:rPr>
          <w:rFonts w:ascii="Times New Roman" w:hAnsi="Times New Roman" w:cs="Times New Roman"/>
          <w:b/>
          <w:bCs/>
          <w:sz w:val="24"/>
          <w:szCs w:val="24"/>
        </w:rPr>
        <w:t>Организация межфилиальных каналов связи: г. Санкт-Петербург, ул. Новгородская, д.11 и п. Мурмаши, ул. Советская, 2; г. Петрозаводск, ул. Кирова,43 и п. Мурмаши, ул. Советская, д.2; г. Санкт-Петербург, ул. Новгородская, д.11 и г. Петрозаводск, ул. Кирова,43</w:t>
      </w:r>
    </w:p>
    <w:p w:rsidR="00464210" w:rsidRPr="00961958" w:rsidRDefault="00961958" w:rsidP="00464210">
      <w:pPr>
        <w:shd w:val="clear" w:color="auto" w:fill="FFFFFF"/>
        <w:tabs>
          <w:tab w:val="left" w:leader="underscore" w:pos="7651"/>
        </w:tabs>
        <w:spacing w:line="557" w:lineRule="exact"/>
        <w:ind w:left="20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52E6F">
        <w:rPr>
          <w:rFonts w:ascii="Times New Roman" w:hAnsi="Times New Roman" w:cs="Times New Roman"/>
          <w:b/>
          <w:bCs/>
          <w:sz w:val="24"/>
          <w:szCs w:val="24"/>
        </w:rPr>
        <w:t>Номер</w:t>
      </w:r>
      <w:r w:rsidR="006016CF">
        <w:rPr>
          <w:rFonts w:ascii="Times New Roman" w:hAnsi="Times New Roman" w:cs="Times New Roman"/>
          <w:b/>
          <w:bCs/>
          <w:sz w:val="24"/>
          <w:szCs w:val="24"/>
        </w:rPr>
        <w:t xml:space="preserve"> закупки по ГКПЗ</w:t>
      </w:r>
      <w:r w:rsidR="00191D0F">
        <w:rPr>
          <w:rFonts w:ascii="Times New Roman" w:hAnsi="Times New Roman" w:cs="Times New Roman"/>
          <w:b/>
          <w:bCs/>
          <w:sz w:val="24"/>
          <w:szCs w:val="24"/>
        </w:rPr>
        <w:t xml:space="preserve"> 1090/7.39-873</w:t>
      </w:r>
      <w:r w:rsidR="00464210" w:rsidRPr="0096195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961958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0" w:name="_Toc90385071"/>
      <w:bookmarkStart w:id="1" w:name="_Ref93090116"/>
      <w:bookmarkStart w:id="2" w:name="_Toc153176292"/>
      <w:r w:rsidRPr="00961958">
        <w:rPr>
          <w:color w:val="000000"/>
          <w:sz w:val="23"/>
          <w:szCs w:val="23"/>
        </w:rPr>
        <w:t>Требования к Участникам</w:t>
      </w:r>
      <w:bookmarkEnd w:id="0"/>
      <w:bookmarkEnd w:id="1"/>
      <w:bookmarkEnd w:id="2"/>
    </w:p>
    <w:p w:rsidR="00464210" w:rsidRPr="00961958" w:rsidRDefault="00464210" w:rsidP="00464210">
      <w:pPr>
        <w:pStyle w:val="a4"/>
        <w:tabs>
          <w:tab w:val="clear" w:pos="1134"/>
        </w:tabs>
        <w:ind w:left="0" w:firstLine="284"/>
        <w:rPr>
          <w:sz w:val="23"/>
          <w:szCs w:val="23"/>
        </w:rPr>
      </w:pPr>
      <w:r w:rsidRPr="00961958">
        <w:rPr>
          <w:sz w:val="23"/>
          <w:szCs w:val="23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961958" w:rsidRDefault="00464210" w:rsidP="00464210">
      <w:pPr>
        <w:pStyle w:val="a4"/>
        <w:tabs>
          <w:tab w:val="clear" w:pos="1134"/>
        </w:tabs>
        <w:ind w:left="0" w:firstLine="284"/>
        <w:rPr>
          <w:sz w:val="23"/>
          <w:szCs w:val="23"/>
        </w:rPr>
      </w:pPr>
      <w:r w:rsidRPr="00961958">
        <w:rPr>
          <w:sz w:val="23"/>
          <w:szCs w:val="23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961958">
          <w:rPr>
            <w:rStyle w:val="a3"/>
            <w:sz w:val="23"/>
            <w:szCs w:val="23"/>
          </w:rPr>
          <w:t>http://rnp.fas.gov.ru</w:t>
        </w:r>
      </w:hyperlink>
      <w:r w:rsidRPr="00961958">
        <w:rPr>
          <w:sz w:val="23"/>
          <w:szCs w:val="23"/>
        </w:rPr>
        <w:t xml:space="preserve">). 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lastRenderedPageBreak/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t>Участник должен быть готов заключить Договор по форме, принятой у Заказчика.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01691B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961958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3" w:name="_Ref86827631"/>
      <w:bookmarkStart w:id="4" w:name="_Toc90385072"/>
      <w:bookmarkStart w:id="5" w:name="_Toc153176293"/>
      <w:bookmarkStart w:id="6" w:name="_GoBack"/>
      <w:bookmarkEnd w:id="6"/>
      <w:r w:rsidRPr="00961958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3"/>
      <w:bookmarkEnd w:id="4"/>
      <w:bookmarkEnd w:id="5"/>
    </w:p>
    <w:p w:rsidR="00464210" w:rsidRPr="00961958" w:rsidRDefault="00464210" w:rsidP="00464210">
      <w:pPr>
        <w:pStyle w:val="a4"/>
        <w:tabs>
          <w:tab w:val="clear" w:pos="1134"/>
        </w:tabs>
        <w:rPr>
          <w:sz w:val="23"/>
          <w:szCs w:val="23"/>
        </w:rPr>
      </w:pPr>
      <w:r w:rsidRPr="00961958">
        <w:rPr>
          <w:sz w:val="23"/>
          <w:szCs w:val="23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851" w:hanging="284"/>
        <w:rPr>
          <w:sz w:val="23"/>
          <w:szCs w:val="23"/>
        </w:rPr>
      </w:pPr>
      <w:r w:rsidRPr="00961958">
        <w:rPr>
          <w:sz w:val="23"/>
          <w:szCs w:val="23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копии учредительных документов (учредительный договор и Устав);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свидетельства о присвоении ИНН;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</w:t>
      </w:r>
      <w:r w:rsidRPr="00961958">
        <w:rPr>
          <w:sz w:val="23"/>
          <w:szCs w:val="23"/>
        </w:rPr>
        <w:lastRenderedPageBreak/>
        <w:t>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Данные документы предоставить: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- в электронном виде в формате, представляемом в органы ФНС РФ (при наличии);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анкету по установленной в Документации по запросу предложений форме — (форма 7);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согласие на обработку персональных данных (форма – приложение №13);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ind w:left="851" w:hanging="284"/>
        <w:rPr>
          <w:sz w:val="24"/>
          <w:szCs w:val="24"/>
        </w:rPr>
      </w:pPr>
      <w:r w:rsidRPr="00961958">
        <w:rPr>
          <w:iCs/>
          <w:sz w:val="24"/>
          <w:szCs w:val="24"/>
        </w:rPr>
        <w:lastRenderedPageBreak/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961958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961958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961958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961958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961958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961958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961958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Default="00CC773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ПСДТУиИТ филиала «Невский» </w:t>
            </w:r>
          </w:p>
          <w:p w:rsidR="00CC773B" w:rsidRPr="00961958" w:rsidRDefault="00CC773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961958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961958" w:rsidRDefault="003B46BF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Малафеев</w:t>
            </w:r>
          </w:p>
        </w:tc>
      </w:tr>
      <w:tr w:rsidR="00464210" w:rsidRPr="00961958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961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10"/>
    <w:rsid w:val="0001691B"/>
    <w:rsid w:val="00191D0F"/>
    <w:rsid w:val="002E5F41"/>
    <w:rsid w:val="003B46BF"/>
    <w:rsid w:val="00464210"/>
    <w:rsid w:val="005743F1"/>
    <w:rsid w:val="006016CF"/>
    <w:rsid w:val="00641308"/>
    <w:rsid w:val="00752E6F"/>
    <w:rsid w:val="0089626C"/>
    <w:rsid w:val="008D0E4F"/>
    <w:rsid w:val="00961958"/>
    <w:rsid w:val="00B87B3A"/>
    <w:rsid w:val="00C31140"/>
    <w:rsid w:val="00CA106E"/>
    <w:rsid w:val="00CC773B"/>
    <w:rsid w:val="00D14A35"/>
    <w:rsid w:val="00DC5FB6"/>
    <w:rsid w:val="00E06B00"/>
    <w:rsid w:val="00EA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817C5-670C-46AC-97B9-B9D8198B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962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2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Волкова Вита Валерьевна</cp:lastModifiedBy>
  <cp:revision>17</cp:revision>
  <cp:lastPrinted>2014-03-04T07:28:00Z</cp:lastPrinted>
  <dcterms:created xsi:type="dcterms:W3CDTF">2014-02-03T08:41:00Z</dcterms:created>
  <dcterms:modified xsi:type="dcterms:W3CDTF">2015-12-03T11:51:00Z</dcterms:modified>
</cp:coreProperties>
</file>