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8058AF" w:rsidRDefault="00464210" w:rsidP="00721957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58AF" w:rsidRPr="008058AF">
        <w:rPr>
          <w:rFonts w:ascii="Times New Roman" w:hAnsi="Times New Roman" w:cs="Times New Roman"/>
          <w:sz w:val="24"/>
          <w:szCs w:val="24"/>
        </w:rPr>
        <w:t>Услуги по эксплуатационному обслуживанию и ремонту кондиционеров узлов связи и СДТУ предприятий филиала "Невский" ОАО "ТГК-1"</w:t>
      </w:r>
    </w:p>
    <w:p w:rsidR="00722E5D" w:rsidRPr="00903E1D" w:rsidRDefault="00464210" w:rsidP="00721957">
      <w:pPr>
        <w:shd w:val="clear" w:color="auto" w:fill="FFFFFF"/>
        <w:tabs>
          <w:tab w:val="left" w:leader="underscore" w:pos="7800"/>
        </w:tabs>
        <w:ind w:left="235"/>
        <w:rPr>
          <w:b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58AF" w:rsidRPr="008058AF">
        <w:rPr>
          <w:rFonts w:ascii="Times New Roman" w:hAnsi="Times New Roman" w:cs="Times New Roman"/>
          <w:b/>
          <w:sz w:val="24"/>
          <w:szCs w:val="24"/>
        </w:rPr>
        <w:t>1090/7.39-872</w:t>
      </w:r>
      <w:r w:rsidR="00721957">
        <w:rPr>
          <w:rFonts w:ascii="Times New Roman" w:hAnsi="Times New Roman" w:cs="Times New Roman"/>
          <w:b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1" w:name="_Toc90385071"/>
      <w:bookmarkStart w:id="2" w:name="_Ref93090116"/>
      <w:bookmarkStart w:id="3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1"/>
      <w:bookmarkEnd w:id="2"/>
      <w:bookmarkEnd w:id="3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4" w:name="_Ref86827631"/>
      <w:bookmarkStart w:id="5" w:name="_Toc90385072"/>
      <w:bookmarkStart w:id="6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4"/>
      <w:bookmarkEnd w:id="5"/>
      <w:bookmarkEnd w:id="6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lastRenderedPageBreak/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DA148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8058AF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А.</w:t>
            </w:r>
            <w:bookmarkStart w:id="7" w:name="_GoBack"/>
            <w:bookmarkEnd w:id="7"/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 w:rsidSect="008058A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964F5"/>
    <w:rsid w:val="001D467B"/>
    <w:rsid w:val="00202D76"/>
    <w:rsid w:val="002E5F41"/>
    <w:rsid w:val="00464210"/>
    <w:rsid w:val="005605F9"/>
    <w:rsid w:val="006A2588"/>
    <w:rsid w:val="00721957"/>
    <w:rsid w:val="00722E5D"/>
    <w:rsid w:val="007D0632"/>
    <w:rsid w:val="007E1DF7"/>
    <w:rsid w:val="008058AF"/>
    <w:rsid w:val="008779EA"/>
    <w:rsid w:val="008C6E28"/>
    <w:rsid w:val="00B56CCE"/>
    <w:rsid w:val="00B87B3A"/>
    <w:rsid w:val="00C6458D"/>
    <w:rsid w:val="00C73306"/>
    <w:rsid w:val="00DA148B"/>
    <w:rsid w:val="00EE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2014-08-28T05:55:00Z</cp:lastPrinted>
  <dcterms:created xsi:type="dcterms:W3CDTF">2015-11-19T06:31:00Z</dcterms:created>
  <dcterms:modified xsi:type="dcterms:W3CDTF">2015-11-19T06:31:00Z</dcterms:modified>
</cp:coreProperties>
</file>